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354965</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-302895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88" w:lineRule="exact"/>
        <w:rPr>
          <w:sz w:val="24"/>
          <w:szCs w:val="24"/>
          <w:color w:val="auto"/>
        </w:rPr>
      </w:pPr>
    </w:p>
    <w:p>
      <w:pPr>
        <w:ind w:left="660" w:right="2140" w:hanging="625"/>
        <w:spacing w:after="0" w:line="276" w:lineRule="auto"/>
        <w:tabs>
          <w:tab w:leader="none" w:pos="4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612"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612"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612"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612" w:right="239" w:bottom="1440" w:gutter="0" w:footer="0" w:header="0"/>
          <w:type w:val="continuous"/>
        </w:sectPr>
      </w:pPr>
    </w:p>
    <w:p>
      <w:pPr>
        <w:spacing w:after="0" w:line="17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720" w:space="720"/>
            <w:col w:w="2980"/>
          </w:cols>
          <w:pgMar w:left="240" w:top="612" w:right="239" w:bottom="1440" w:gutter="0" w:footer="0" w:header="0"/>
          <w:type w:val="continuous"/>
        </w:sectPr>
      </w:pPr>
    </w:p>
    <w:p>
      <w:pPr>
        <w:ind w:left="20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80" w:space="720"/>
            <w:col w:w="4120"/>
          </w:cols>
          <w:pgMar w:left="240" w:top="612"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5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no par value</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0"/>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Preferred share purchase rights</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4"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2" w:lineRule="exact"/>
        <w:rPr>
          <w:sz w:val="24"/>
          <w:szCs w:val="24"/>
          <w:color w:val="auto"/>
        </w:rPr>
      </w:pPr>
    </w:p>
    <w:p>
      <w:pPr>
        <w:ind w:right="36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63" w:lineRule="exact"/>
        <w:rPr>
          <w:sz w:val="24"/>
          <w:szCs w:val="24"/>
          <w:color w:val="auto"/>
        </w:rPr>
      </w:pPr>
    </w:p>
    <w:tbl>
      <w:tblPr>
        <w:tblLayout w:type="fixed"/>
        <w:tblInd w:w="580" w:type="dxa"/>
        <w:tblCellMar>
          <w:top w:w="0" w:type="dxa"/>
          <w:left w:w="0" w:type="dxa"/>
          <w:bottom w:w="0" w:type="dxa"/>
          <w:right w:w="0" w:type="dxa"/>
        </w:tblCellMar>
      </w:tblPr>
      <w:tr>
        <w:trPr>
          <w:trHeight w:val="226"/>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c>
          <w:tcPr>
            <w:tcW w:w="6580" w:type="dxa"/>
            <w:vAlign w:val="bottom"/>
          </w:tcPr>
          <w:p>
            <w:pPr>
              <w:ind w:left="44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3"/>
        </w:trPr>
        <w:tc>
          <w:tcPr>
            <w:tcW w:w="170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540" w:type="dxa"/>
            <w:vAlign w:val="bottom"/>
          </w:tcPr>
          <w:p>
            <w:pPr>
              <w:ind w:left="400"/>
              <w:spacing w:after="0"/>
              <w:rPr>
                <w:sz w:val="20"/>
                <w:szCs w:val="20"/>
                <w:color w:val="auto"/>
              </w:rPr>
            </w:pPr>
            <w:r>
              <w:rPr>
                <w:rFonts w:ascii="Arial" w:cs="Arial" w:eastAsia="Arial" w:hAnsi="Arial"/>
                <w:sz w:val="14"/>
                <w:szCs w:val="14"/>
                <w:color w:val="auto"/>
              </w:rPr>
              <w:t>o</w:t>
            </w:r>
          </w:p>
        </w:tc>
        <w:tc>
          <w:tcPr>
            <w:tcW w:w="658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660" w:type="dxa"/>
            <w:vAlign w:val="bottom"/>
            <w:vMerge w:val="restart"/>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580" w:type="dxa"/>
            <w:vAlign w:val="bottom"/>
          </w:tcPr>
          <w:p>
            <w:pPr>
              <w:ind w:left="4480"/>
              <w:spacing w:after="0"/>
              <w:rPr>
                <w:sz w:val="20"/>
                <w:szCs w:val="20"/>
                <w:color w:val="auto"/>
              </w:rPr>
            </w:pPr>
            <w:r>
              <w:rPr>
                <w:rFonts w:ascii="Arial" w:cs="Arial" w:eastAsia="Arial" w:hAnsi="Arial"/>
                <w:sz w:val="14"/>
                <w:szCs w:val="14"/>
                <w:color w:val="auto"/>
              </w:rPr>
              <w:t>Smaller reporting company</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29, 2012 (the last business day of the registrant’s most recently completed second fiscal quarter), the aggregate market value of the shares of common stock held by non-affiliates of the registrant (based on the closing price for the common stock on the NASDAQ Global Select Market) was $1,616,930,208.</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2013 there were outstanding 39,301,339 shares of the registrant’s common stock, no par value, which is the only class of common stock of the registrant.</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information called for by Part III is incorporated by reference to the definitive Proxy Statement for the Annual Meeting of Shareholders of the Company to be held on May 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0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4"/>
          </w:tcPr>
          <w:p>
            <w:pPr>
              <w:jc w:val="center"/>
              <w:ind w:right="3520"/>
              <w:spacing w:after="0"/>
              <w:rPr>
                <w:sz w:val="20"/>
                <w:szCs w:val="20"/>
                <w:color w:val="auto"/>
              </w:rPr>
            </w:pPr>
            <w:r>
              <w:rPr>
                <w:rFonts w:ascii="Arial" w:cs="Arial" w:eastAsia="Arial" w:hAnsi="Arial"/>
                <w:sz w:val="18"/>
                <w:szCs w:val="18"/>
                <w:b w:val="1"/>
                <w:bCs w:val="1"/>
                <w:color w:val="auto"/>
                <w:w w:val="96"/>
              </w:rPr>
              <w:t>Itron, Inc.</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15"/>
          </w:tcPr>
          <w:p>
            <w:pPr>
              <w:jc w:val="center"/>
              <w:ind w:right="3380"/>
              <w:spacing w:after="0"/>
              <w:rPr>
                <w:sz w:val="20"/>
                <w:szCs w:val="20"/>
                <w:color w:val="auto"/>
              </w:rPr>
            </w:pPr>
            <w:r>
              <w:rPr>
                <w:rFonts w:ascii="Arial" w:cs="Arial" w:eastAsia="Arial" w:hAnsi="Arial"/>
                <w:sz w:val="18"/>
                <w:szCs w:val="18"/>
                <w:b w:val="1"/>
                <w:bCs w:val="1"/>
                <w:color w:val="auto"/>
                <w:w w:val="89"/>
              </w:rPr>
              <w:t>Table of Contents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FF"/>
            </w:tcBorders>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BUSINESS</w:t>
              </w:r>
            </w:hyperlink>
          </w:p>
        </w:tc>
        <w:tc>
          <w:tcPr>
            <w:tcW w:w="6920" w:type="dxa"/>
            <w:vAlign w:val="bottom"/>
            <w:gridSpan w:val="28"/>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RISK FACTORS</w:t>
              </w:r>
            </w:hyperlink>
          </w:p>
        </w:tc>
        <w:tc>
          <w:tcPr>
            <w:tcW w:w="6520" w:type="dxa"/>
            <w:vAlign w:val="bottom"/>
            <w:gridSpan w:val="26"/>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1B:</w:t>
            </w:r>
          </w:p>
        </w:tc>
        <w:tc>
          <w:tcPr>
            <w:tcW w:w="2820" w:type="dxa"/>
            <w:vAlign w:val="bottom"/>
            <w:gridSpan w:val="12"/>
          </w:tcPr>
          <w:p>
            <w:pPr>
              <w:spacing w:after="0"/>
              <w:rPr>
                <w:rFonts w:ascii="Arial" w:cs="Arial" w:eastAsia="Arial" w:hAnsi="Arial"/>
                <w:sz w:val="18"/>
                <w:szCs w:val="18"/>
                <w:color w:val="0000FF"/>
                <w:w w:val="93"/>
              </w:rPr>
            </w:pPr>
            <w:hyperlink w:anchor="page17">
              <w:r>
                <w:rPr>
                  <w:rFonts w:ascii="Arial" w:cs="Arial" w:eastAsia="Arial" w:hAnsi="Arial"/>
                  <w:sz w:val="18"/>
                  <w:szCs w:val="18"/>
                  <w:color w:val="0000FF"/>
                  <w:w w:val="93"/>
                </w:rPr>
                <w:t>UNRESOLVED STAFF COMMENTS</w:t>
              </w:r>
            </w:hyperlink>
          </w:p>
        </w:tc>
        <w:tc>
          <w:tcPr>
            <w:tcW w:w="4960" w:type="dxa"/>
            <w:vAlign w:val="bottom"/>
            <w:gridSpan w:val="17"/>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2:</w:t>
            </w:r>
          </w:p>
        </w:tc>
        <w:tc>
          <w:tcPr>
            <w:tcW w:w="1060" w:type="dxa"/>
            <w:vAlign w:val="bottom"/>
            <w:gridSpan w:val="2"/>
          </w:tcPr>
          <w:p>
            <w:pP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PROPERTIES</w:t>
              </w:r>
            </w:hyperlink>
          </w:p>
        </w:tc>
        <w:tc>
          <w:tcPr>
            <w:tcW w:w="1760" w:type="dxa"/>
            <w:vAlign w:val="bottom"/>
            <w:gridSpan w:val="10"/>
          </w:tcPr>
          <w:p>
            <w:pPr>
              <w:spacing w:after="0"/>
              <w:rPr>
                <w:sz w:val="21"/>
                <w:szCs w:val="21"/>
                <w:color w:val="auto"/>
              </w:rPr>
            </w:pPr>
          </w:p>
        </w:tc>
        <w:tc>
          <w:tcPr>
            <w:tcW w:w="4960" w:type="dxa"/>
            <w:vAlign w:val="bottom"/>
            <w:gridSpan w:val="17"/>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3:</w:t>
            </w:r>
          </w:p>
        </w:tc>
        <w:tc>
          <w:tcPr>
            <w:tcW w:w="7780" w:type="dxa"/>
            <w:vAlign w:val="bottom"/>
            <w:gridSpan w:val="2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LEGAL PROCEEDINGS</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4:</w:t>
            </w:r>
          </w:p>
        </w:tc>
        <w:tc>
          <w:tcPr>
            <w:tcW w:w="7780" w:type="dxa"/>
            <w:vAlign w:val="bottom"/>
            <w:gridSpan w:val="2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MINE SAFETY DISCLOSURES</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8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5:</w:t>
            </w:r>
          </w:p>
        </w:tc>
        <w:tc>
          <w:tcPr>
            <w:tcW w:w="7780" w:type="dxa"/>
            <w:vAlign w:val="bottom"/>
            <w:gridSpan w:val="29"/>
          </w:tcPr>
          <w:p>
            <w:pPr>
              <w:spacing w:after="0"/>
              <w:rPr>
                <w:rFonts w:ascii="Arial" w:cs="Arial" w:eastAsia="Arial" w:hAnsi="Arial"/>
                <w:sz w:val="18"/>
                <w:szCs w:val="18"/>
                <w:color w:val="0000FF"/>
                <w:w w:val="98"/>
              </w:rPr>
            </w:pPr>
            <w:hyperlink w:anchor="page18">
              <w:r>
                <w:rPr>
                  <w:rFonts w:ascii="Arial" w:cs="Arial" w:eastAsia="Arial" w:hAnsi="Arial"/>
                  <w:sz w:val="18"/>
                  <w:szCs w:val="18"/>
                  <w:color w:val="0000FF"/>
                  <w:w w:val="98"/>
                </w:rPr>
                <w:t>MARKET FOR REGISTRANT’S COMMON EQUITY, RELATED STOCKHOLDER MATTERS AND</w:t>
              </w:r>
            </w:hyperlink>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w:anchor="page18">
              <w:r>
                <w:rPr>
                  <w:rFonts w:ascii="Arial" w:cs="Arial" w:eastAsia="Arial" w:hAnsi="Arial"/>
                  <w:sz w:val="18"/>
                  <w:szCs w:val="18"/>
                  <w:color w:val="0000FF"/>
                </w:rPr>
                <w:t>ISSUER PURCHASES OF EQUITY SECURITIES</w:t>
              </w:r>
            </w:hyperlink>
          </w:p>
        </w:tc>
        <w:tc>
          <w:tcPr>
            <w:tcW w:w="180" w:type="dxa"/>
            <w:vAlign w:val="bottom"/>
            <w:gridSpan w:val="2"/>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6:</w:t>
            </w:r>
          </w:p>
        </w:tc>
        <w:tc>
          <w:tcPr>
            <w:tcW w:w="7780" w:type="dxa"/>
            <w:vAlign w:val="bottom"/>
            <w:gridSpan w:val="2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SELECTED CONSOLIDATED FINANCIAL DATA</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7:</w:t>
            </w:r>
          </w:p>
        </w:tc>
        <w:tc>
          <w:tcPr>
            <w:tcW w:w="7780" w:type="dxa"/>
            <w:vAlign w:val="bottom"/>
            <w:gridSpan w:val="2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w:t>
              </w:r>
            </w:hyperlink>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50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w:anchor="page21">
              <w:r>
                <w:rPr>
                  <w:rFonts w:ascii="Arial" w:cs="Arial" w:eastAsia="Arial" w:hAnsi="Arial"/>
                  <w:sz w:val="18"/>
                  <w:szCs w:val="18"/>
                  <w:color w:val="0000FF"/>
                </w:rPr>
                <w:t>OF OPERATIONS</w:t>
              </w:r>
            </w:hyperlink>
          </w:p>
        </w:tc>
        <w:tc>
          <w:tcPr>
            <w:tcW w:w="280" w:type="dxa"/>
            <w:vAlign w:val="bottom"/>
            <w:gridSpan w:val="3"/>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7A:</w:t>
            </w:r>
          </w:p>
        </w:tc>
        <w:tc>
          <w:tcPr>
            <w:tcW w:w="7780" w:type="dxa"/>
            <w:vAlign w:val="bottom"/>
            <w:gridSpan w:val="2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8:</w:t>
            </w:r>
          </w:p>
        </w:tc>
        <w:tc>
          <w:tcPr>
            <w:tcW w:w="6140" w:type="dxa"/>
            <w:vAlign w:val="bottom"/>
            <w:gridSpan w:val="2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FINANCIAL STATEMENTS AND SUPPLEMENTARY DATA</w:t>
              </w:r>
            </w:hyperlink>
          </w:p>
        </w:tc>
        <w:tc>
          <w:tcPr>
            <w:tcW w:w="1640" w:type="dxa"/>
            <w:vAlign w:val="bottom"/>
            <w:gridSpan w:val="6"/>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6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Consolidated Statements of Operations</w:t>
              </w:r>
            </w:hyperlink>
          </w:p>
        </w:tc>
        <w:tc>
          <w:tcPr>
            <w:tcW w:w="3120" w:type="dxa"/>
            <w:vAlign w:val="bottom"/>
            <w:gridSpan w:val="8"/>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60" w:type="dxa"/>
            <w:vAlign w:val="bottom"/>
            <w:gridSpan w:val="20"/>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Consolidated Statements of Comprehensive Income (Loss)</w:t>
              </w:r>
            </w:hyperlink>
          </w:p>
        </w:tc>
        <w:tc>
          <w:tcPr>
            <w:tcW w:w="3520" w:type="dxa"/>
            <w:vAlign w:val="bottom"/>
            <w:gridSpan w:val="9"/>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00" w:type="dxa"/>
            <w:vAlign w:val="bottom"/>
            <w:gridSpan w:val="7"/>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Consolidated Balance Sheets</w:t>
              </w:r>
            </w:hyperlink>
          </w:p>
        </w:tc>
        <w:tc>
          <w:tcPr>
            <w:tcW w:w="2160" w:type="dxa"/>
            <w:vAlign w:val="bottom"/>
            <w:gridSpan w:val="13"/>
          </w:tcPr>
          <w:p>
            <w:pPr>
              <w:spacing w:after="0"/>
              <w:rPr>
                <w:sz w:val="21"/>
                <w:szCs w:val="21"/>
                <w:color w:val="auto"/>
              </w:rPr>
            </w:pPr>
          </w:p>
        </w:tc>
        <w:tc>
          <w:tcPr>
            <w:tcW w:w="3520" w:type="dxa"/>
            <w:vAlign w:val="bottom"/>
            <w:gridSpan w:val="9"/>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60" w:type="dxa"/>
            <w:vAlign w:val="bottom"/>
            <w:gridSpan w:val="10"/>
          </w:tcPr>
          <w:p>
            <w:pPr>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Consolidated Statements of Equity</w:t>
              </w:r>
            </w:hyperlink>
          </w:p>
        </w:tc>
        <w:tc>
          <w:tcPr>
            <w:tcW w:w="5320" w:type="dxa"/>
            <w:vAlign w:val="bottom"/>
            <w:gridSpan w:val="19"/>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gridSpan w:val="13"/>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Consolidated Statements of Cash Flows</w:t>
              </w:r>
            </w:hyperlink>
          </w:p>
        </w:tc>
        <w:tc>
          <w:tcPr>
            <w:tcW w:w="4900" w:type="dxa"/>
            <w:vAlign w:val="bottom"/>
            <w:gridSpan w:val="16"/>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60" w:type="dxa"/>
            <w:vAlign w:val="bottom"/>
            <w:gridSpan w:val="15"/>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Notes to Consolidated Financial Statements</w:t>
              </w:r>
            </w:hyperlink>
          </w:p>
        </w:tc>
        <w:tc>
          <w:tcPr>
            <w:tcW w:w="4620" w:type="dxa"/>
            <w:vAlign w:val="bottom"/>
            <w:gridSpan w:val="14"/>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9:</w:t>
            </w:r>
          </w:p>
        </w:tc>
        <w:tc>
          <w:tcPr>
            <w:tcW w:w="6940" w:type="dxa"/>
            <w:vAlign w:val="bottom"/>
            <w:tcBorders>
              <w:bottom w:val="single" w:sz="8" w:color="0000FF"/>
            </w:tcBorders>
            <w:gridSpan w:val="24"/>
          </w:tcPr>
          <w:p>
            <w:pPr>
              <w:spacing w:after="0"/>
              <w:rPr>
                <w:rFonts w:ascii="Arial" w:cs="Arial" w:eastAsia="Arial" w:hAnsi="Arial"/>
                <w:sz w:val="18"/>
                <w:szCs w:val="18"/>
                <w:color w:val="0000FF"/>
                <w:w w:val="97"/>
              </w:rPr>
            </w:pPr>
            <w:hyperlink w:anchor="page85">
              <w:r>
                <w:rPr>
                  <w:rFonts w:ascii="Arial" w:cs="Arial" w:eastAsia="Arial" w:hAnsi="Arial"/>
                  <w:sz w:val="18"/>
                  <w:szCs w:val="18"/>
                  <w:color w:val="0000FF"/>
                  <w:w w:val="97"/>
                </w:rPr>
                <w:t>CHANGES IN AND DISAGREEMENTS WITH ACCOUNTANTS ON ACCOUNTING AND</w:t>
              </w:r>
            </w:hyperlink>
          </w:p>
        </w:tc>
        <w:tc>
          <w:tcPr>
            <w:tcW w:w="84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40" w:type="dxa"/>
            <w:vAlign w:val="bottom"/>
            <w:gridSpan w:val="8"/>
          </w:tcPr>
          <w:p>
            <w:pPr>
              <w:spacing w:after="0" w:line="196" w:lineRule="exact"/>
              <w:rPr>
                <w:rFonts w:ascii="Arial" w:cs="Arial" w:eastAsia="Arial" w:hAnsi="Arial"/>
                <w:sz w:val="18"/>
                <w:szCs w:val="18"/>
                <w:color w:val="0000FF"/>
                <w:w w:val="98"/>
              </w:rPr>
            </w:pPr>
            <w:hyperlink w:anchor="page85">
              <w:r>
                <w:rPr>
                  <w:rFonts w:ascii="Arial" w:cs="Arial" w:eastAsia="Arial" w:hAnsi="Arial"/>
                  <w:sz w:val="18"/>
                  <w:szCs w:val="18"/>
                  <w:color w:val="0000FF"/>
                  <w:w w:val="98"/>
                </w:rPr>
                <w:t>FINANCIAL DISCLOSURE</w:t>
              </w:r>
            </w:hyperlink>
          </w:p>
        </w:tc>
        <w:tc>
          <w:tcPr>
            <w:tcW w:w="5640" w:type="dxa"/>
            <w:vAlign w:val="bottom"/>
            <w:gridSpan w:val="21"/>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82</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9A:</w:t>
            </w:r>
          </w:p>
        </w:tc>
        <w:tc>
          <w:tcPr>
            <w:tcW w:w="7780" w:type="dxa"/>
            <w:vAlign w:val="bottom"/>
            <w:gridSpan w:val="29"/>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CONTROLS AND PROCEDURES</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82</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9B:</w:t>
            </w:r>
          </w:p>
        </w:tc>
        <w:tc>
          <w:tcPr>
            <w:tcW w:w="2600" w:type="dxa"/>
            <w:vAlign w:val="bottom"/>
            <w:gridSpan w:val="11"/>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OTHER INFORMATION</w:t>
              </w:r>
            </w:hyperlink>
          </w:p>
        </w:tc>
        <w:tc>
          <w:tcPr>
            <w:tcW w:w="5180" w:type="dxa"/>
            <w:vAlign w:val="bottom"/>
            <w:gridSpan w:val="18"/>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83</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8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10:</w:t>
            </w:r>
          </w:p>
        </w:tc>
        <w:tc>
          <w:tcPr>
            <w:tcW w:w="7780" w:type="dxa"/>
            <w:vAlign w:val="bottom"/>
            <w:gridSpan w:val="29"/>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DIRECTORS, EXECUTIVE OFFICERS AND CORPORATE GOVERNANCE</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84</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10"/>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11:</w:t>
            </w:r>
          </w:p>
        </w:tc>
        <w:tc>
          <w:tcPr>
            <w:tcW w:w="2460" w:type="dxa"/>
            <w:vAlign w:val="bottom"/>
            <w:gridSpan w:val="10"/>
          </w:tcPr>
          <w:p>
            <w:pPr>
              <w:spacing w:after="0"/>
              <w:rPr>
                <w:rFonts w:ascii="Arial" w:cs="Arial" w:eastAsia="Arial" w:hAnsi="Arial"/>
                <w:sz w:val="18"/>
                <w:szCs w:val="18"/>
                <w:color w:val="0000FF"/>
                <w:w w:val="95"/>
              </w:rPr>
            </w:pPr>
            <w:hyperlink w:anchor="page87">
              <w:r>
                <w:rPr>
                  <w:rFonts w:ascii="Arial" w:cs="Arial" w:eastAsia="Arial" w:hAnsi="Arial"/>
                  <w:sz w:val="18"/>
                  <w:szCs w:val="18"/>
                  <w:color w:val="0000FF"/>
                  <w:w w:val="95"/>
                </w:rPr>
                <w:t>EXECUTIVE COMPENSATION</w:t>
              </w:r>
            </w:hyperlink>
          </w:p>
        </w:tc>
        <w:tc>
          <w:tcPr>
            <w:tcW w:w="3340" w:type="dxa"/>
            <w:vAlign w:val="bottom"/>
            <w:gridSpan w:val="12"/>
          </w:tcPr>
          <w:p>
            <w:pPr>
              <w:spacing w:after="0"/>
              <w:rPr>
                <w:sz w:val="21"/>
                <w:szCs w:val="21"/>
                <w:color w:val="auto"/>
              </w:rPr>
            </w:pPr>
          </w:p>
        </w:tc>
        <w:tc>
          <w:tcPr>
            <w:tcW w:w="1980" w:type="dxa"/>
            <w:vAlign w:val="bottom"/>
            <w:gridSpan w:val="7"/>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84</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10"/>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12:</w:t>
            </w:r>
          </w:p>
        </w:tc>
        <w:tc>
          <w:tcPr>
            <w:tcW w:w="7180" w:type="dxa"/>
            <w:vAlign w:val="bottom"/>
            <w:tcBorders>
              <w:bottom w:val="single" w:sz="8" w:color="0000FF"/>
            </w:tcBorders>
            <w:gridSpan w:val="25"/>
          </w:tcPr>
          <w:p>
            <w:pPr>
              <w:spacing w:after="0"/>
              <w:rPr>
                <w:rFonts w:ascii="Arial" w:cs="Arial" w:eastAsia="Arial" w:hAnsi="Arial"/>
                <w:sz w:val="18"/>
                <w:szCs w:val="18"/>
                <w:color w:val="0000FF"/>
                <w:w w:val="97"/>
              </w:rPr>
            </w:pPr>
            <w:hyperlink w:anchor="page87">
              <w:r>
                <w:rPr>
                  <w:rFonts w:ascii="Arial" w:cs="Arial" w:eastAsia="Arial" w:hAnsi="Arial"/>
                  <w:sz w:val="18"/>
                  <w:szCs w:val="18"/>
                  <w:color w:val="0000FF"/>
                  <w:w w:val="97"/>
                </w:rPr>
                <w:t>SECURITY OWNERSHIP OF CERTAIN BENEFICIAL OWNERS AND MANAGEMENT AND</w:t>
              </w:r>
            </w:hyperlink>
          </w:p>
        </w:tc>
        <w:tc>
          <w:tcPr>
            <w:tcW w:w="60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40" w:type="dxa"/>
            <w:vAlign w:val="bottom"/>
            <w:gridSpan w:val="14"/>
          </w:tcPr>
          <w:p>
            <w:pPr>
              <w:spacing w:after="0" w:line="196" w:lineRule="exact"/>
              <w:rPr>
                <w:rFonts w:ascii="Arial" w:cs="Arial" w:eastAsia="Arial" w:hAnsi="Arial"/>
                <w:sz w:val="18"/>
                <w:szCs w:val="18"/>
                <w:color w:val="0000FF"/>
                <w:w w:val="95"/>
              </w:rPr>
            </w:pPr>
            <w:hyperlink w:anchor="page87">
              <w:r>
                <w:rPr>
                  <w:rFonts w:ascii="Arial" w:cs="Arial" w:eastAsia="Arial" w:hAnsi="Arial"/>
                  <w:sz w:val="18"/>
                  <w:szCs w:val="18"/>
                  <w:color w:val="0000FF"/>
                  <w:w w:val="95"/>
                </w:rPr>
                <w:t>RELATED STOCKHOLDER MATTERS</w:t>
              </w:r>
            </w:hyperlink>
          </w:p>
        </w:tc>
        <w:tc>
          <w:tcPr>
            <w:tcW w:w="4740" w:type="dxa"/>
            <w:vAlign w:val="bottom"/>
            <w:gridSpan w:val="15"/>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84</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40" w:type="dxa"/>
            <w:vAlign w:val="bottom"/>
            <w:gridSpan w:val="1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13:</w:t>
            </w:r>
          </w:p>
        </w:tc>
        <w:tc>
          <w:tcPr>
            <w:tcW w:w="7780" w:type="dxa"/>
            <w:vAlign w:val="bottom"/>
            <w:gridSpan w:val="29"/>
          </w:tcPr>
          <w:p>
            <w:pPr>
              <w:spacing w:after="0"/>
              <w:rPr>
                <w:rFonts w:ascii="Arial" w:cs="Arial" w:eastAsia="Arial" w:hAnsi="Arial"/>
                <w:sz w:val="18"/>
                <w:szCs w:val="18"/>
                <w:color w:val="0000FF"/>
                <w:w w:val="96"/>
              </w:rPr>
            </w:pPr>
            <w:hyperlink w:anchor="page87">
              <w:r>
                <w:rPr>
                  <w:rFonts w:ascii="Arial" w:cs="Arial" w:eastAsia="Arial" w:hAnsi="Arial"/>
                  <w:sz w:val="18"/>
                  <w:szCs w:val="18"/>
                  <w:color w:val="0000FF"/>
                  <w:w w:val="96"/>
                </w:rPr>
                <w:t>CERTAIN RELATIONSHIPS AND RELATED TRANSACTIONS, AND DIRECTOR INDEPENDENCE</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84</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6"/>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74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14:</w:t>
            </w:r>
          </w:p>
        </w:tc>
        <w:tc>
          <w:tcPr>
            <w:tcW w:w="7700" w:type="dxa"/>
            <w:vAlign w:val="bottom"/>
            <w:gridSpan w:val="28"/>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PRINCIPAL ACCOUNTING FEES AND SERVICES</w:t>
              </w:r>
            </w:hyperlink>
          </w:p>
        </w:tc>
        <w:tc>
          <w:tcPr>
            <w:tcW w:w="80" w:type="dxa"/>
            <w:vAlign w:val="bottom"/>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8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15:</w:t>
            </w:r>
          </w:p>
        </w:tc>
        <w:tc>
          <w:tcPr>
            <w:tcW w:w="3960" w:type="dxa"/>
            <w:vAlign w:val="bottom"/>
            <w:gridSpan w:val="19"/>
          </w:tcPr>
          <w:p>
            <w:pPr>
              <w:spacing w:after="0"/>
              <w:rPr>
                <w:rFonts w:ascii="Arial" w:cs="Arial" w:eastAsia="Arial" w:hAnsi="Arial"/>
                <w:sz w:val="18"/>
                <w:szCs w:val="18"/>
                <w:color w:val="0000FF"/>
                <w:w w:val="97"/>
              </w:rPr>
            </w:pPr>
            <w:hyperlink w:anchor="page89">
              <w:r>
                <w:rPr>
                  <w:rFonts w:ascii="Arial" w:cs="Arial" w:eastAsia="Arial" w:hAnsi="Arial"/>
                  <w:sz w:val="18"/>
                  <w:szCs w:val="18"/>
                  <w:color w:val="0000FF"/>
                  <w:w w:val="97"/>
                </w:rPr>
                <w:t>EXHIBITS, FINANCIAL STATEMENT SCHEDULE</w:t>
              </w:r>
            </w:hyperlink>
          </w:p>
        </w:tc>
        <w:tc>
          <w:tcPr>
            <w:tcW w:w="3820" w:type="dxa"/>
            <w:vAlign w:val="bottom"/>
            <w:gridSpan w:val="10"/>
          </w:tcPr>
          <w:p>
            <w:pPr>
              <w:spacing w:after="0"/>
              <w:rPr>
                <w:sz w:val="19"/>
                <w:szCs w:val="19"/>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86</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20" w:type="dxa"/>
            <w:vAlign w:val="bottom"/>
            <w:gridSpan w:val="3"/>
            <w:vMerge w:val="restart"/>
          </w:tcPr>
          <w:p>
            <w:pPr>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SIGNATURES</w:t>
              </w:r>
            </w:hyperlink>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89</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6"/>
          </w:tcPr>
          <w:p>
            <w:pPr>
              <w:spacing w:after="0" w:line="20" w:lineRule="exact"/>
              <w:rPr>
                <w:sz w:val="1"/>
                <w:szCs w:val="1"/>
                <w:color w:val="auto"/>
              </w:rPr>
            </w:pPr>
          </w:p>
        </w:tc>
        <w:tc>
          <w:tcPr>
            <w:tcW w:w="4160" w:type="dxa"/>
            <w:vAlign w:val="bottom"/>
            <w:gridSpan w:val="13"/>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SCHEDULE II:</w:t>
            </w:r>
          </w:p>
        </w:tc>
        <w:tc>
          <w:tcPr>
            <w:tcW w:w="7780" w:type="dxa"/>
            <w:vAlign w:val="bottom"/>
            <w:gridSpan w:val="29"/>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VALUATION AND QUALIFYING ACCOUNTS</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90</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240" w:top="108" w:right="5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and/or litigation, 4) our dependence on customers’ acceptance of new products and their performance,</w:t>
      </w:r>
    </w:p>
    <w:p>
      <w:pPr>
        <w:spacing w:after="0" w:line="3" w:lineRule="exact"/>
        <w:rPr>
          <w:sz w:val="20"/>
          <w:szCs w:val="20"/>
          <w:color w:val="auto"/>
        </w:rPr>
      </w:pPr>
    </w:p>
    <w:p>
      <w:pPr>
        <w:jc w:val="both"/>
        <w:ind w:firstLine="8"/>
        <w:spacing w:after="0" w:line="253" w:lineRule="auto"/>
        <w:tabs>
          <w:tab w:leader="none" w:pos="234"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6) changes in domestic and international laws and regulations, 7) changes in foreign currency exchange rates and interest rates, 8) international business risks, 9) our own and our customers’ or suppliers’ access to and cost of capital, 10) future business combinations, and 11) 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refer to Item 1A: “Risk Factors” included in this Annual Report on Form 10-K.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Investors section of our website at </w:t>
      </w:r>
      <w:r>
        <w:rPr>
          <w:rFonts w:ascii="Arial" w:cs="Arial" w:eastAsia="Arial" w:hAnsi="Arial"/>
          <w:sz w:val="17"/>
          <w:szCs w:val="17"/>
          <w:i w:val="1"/>
          <w:iCs w:val="1"/>
          <w:color w:val="auto"/>
        </w:rPr>
        <w:t xml:space="preserve">www.itron.com </w:t>
      </w:r>
      <w:r>
        <w:rPr>
          <w:rFonts w:ascii="Arial" w:cs="Arial" w:eastAsia="Arial" w:hAnsi="Arial"/>
          <w:sz w:val="17"/>
          <w:szCs w:val="17"/>
          <w:color w:val="auto"/>
        </w:rPr>
        <w:t>as soon as practicable after they are filed with or furnished to the SEC. In addition, these documents are available at the SEC’s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(http://</w:t>
      </w:r>
      <w:r>
        <w:rPr>
          <w:rFonts w:ascii="Arial" w:cs="Arial" w:eastAsia="Arial" w:hAnsi="Arial"/>
          <w:sz w:val="17"/>
          <w:szCs w:val="17"/>
          <w:i w:val="1"/>
          <w:iCs w:val="1"/>
          <w:color w:val="auto"/>
        </w:rPr>
        <w:t>www.sec.gov</w:t>
      </w:r>
      <w:r>
        <w:rPr>
          <w:rFonts w:ascii="Arial" w:cs="Arial" w:eastAsia="Arial" w:hAnsi="Arial"/>
          <w:sz w:val="17"/>
          <w:szCs w:val="17"/>
          <w:color w:val="auto"/>
        </w:rPr>
        <w:t>) and at the SEC’s Headquarters at 100 F Street, NE, Washington, DC 20549, or by calling 1-800-SEC-0330.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Itron is a technology company and one of the leading global suppliers of a broad range of standard, advanced, and smart meters and meter communication systems, including networks and communication modules, software, and services. Our communications network platform supports robust and standards-based internet protocol, power-line-carrier, and cellular networks supporting multiple protocols according to our customers' needs around the world. Our software provides mobile and networked meter reading, customer care, billing, distribution design and analysis, forecasting, and load research. Our wide range of services include delivery solutions and managed services on-site or through private cloud solutions.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incorporated in 1977 with a focus on meter reading technology. In 2004, we entered the electricity meter manufacturing business with the acquisition of Schlumberger Electricity Metering. In 2007, we expanded our presence in global meter manufacturing and systems with the acquisition of Actaris Metering Systems SA (Actaris).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discussion of our major products, our markets, and our operating segments. Refer to Item 7: “Management’s Discussion and Analysis of Financial Condition and Results of Operations” included in this Annual Report on Form 10-K for specific segment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solutions that enable energy utilities to build smart grids to manage assets, secure revenue, lower operational costs, improve customer service, and enable demand response. Our solutions include standard meters and next-generation advanced and smart metering products, systems, and services, which ultimately empower and benefit consumers.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supply comprehensive solutions to address the unique challenges facing the water industry, including increasing customer demand and resource scarcity.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offer a complete product portfolio for applications in the residential and commercial industrial markets for water and heat.</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classify metering systems into three categories: standard metering, advanced metering systems and technology, and smart metering systems and technology. These categories are described in more detail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Metering</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A standard meter measures electricity, natural gas, water, or thermal energy by mechanical, electromechanical, or electronic means, with no built-in remote-reading communication capability. Standard meters require manual reading, which is typically performed by a utility representative or meter reading service provider. Worldwide, we produce standard residential, commercial and industrial (C&amp;I), and transmission and distribution (T&amp;D) electricity, natural gas, water, and heat meters.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Metering Systems and Technology</w:t>
      </w:r>
    </w:p>
    <w:p>
      <w:pPr>
        <w:spacing w:after="0" w:line="23" w:lineRule="exact"/>
        <w:rPr>
          <w:sz w:val="20"/>
          <w:szCs w:val="20"/>
          <w:color w:val="auto"/>
        </w:rPr>
      </w:pPr>
    </w:p>
    <w:p>
      <w:pPr>
        <w:jc w:val="both"/>
        <w:ind w:left="420"/>
        <w:spacing w:after="0" w:line="253" w:lineRule="auto"/>
        <w:rPr>
          <w:sz w:val="20"/>
          <w:szCs w:val="20"/>
          <w:color w:val="auto"/>
        </w:rPr>
      </w:pPr>
      <w:r>
        <w:rPr>
          <w:rFonts w:ascii="Arial" w:cs="Arial" w:eastAsia="Arial" w:hAnsi="Arial"/>
          <w:sz w:val="18"/>
          <w:szCs w:val="18"/>
          <w:color w:val="auto"/>
        </w:rPr>
        <w:t>Advanced metering uses a one-way communication module embedded in or attached to the meter to collect and store meter data, which is transmitted to handheld computers, mobile units, and/or fixed networks. This allows utilities to collect meter data for billing systems and analyze the data for more efficient resource management and operations. Worldwide, we produce electricity, natural gas, and water advanced metering systems and technology. Communication technologies can vary by region and country and include telephone, RF (radio frequency), cellular, PLC (power line carrier), and Ethernet devices.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Metering Systems and Technology</w:t>
      </w:r>
    </w:p>
    <w:p>
      <w:pPr>
        <w:spacing w:after="0" w:line="23" w:lineRule="exact"/>
        <w:rPr>
          <w:sz w:val="20"/>
          <w:szCs w:val="20"/>
          <w:color w:val="auto"/>
        </w:rPr>
      </w:pPr>
    </w:p>
    <w:p>
      <w:pPr>
        <w:jc w:val="both"/>
        <w:ind w:left="420"/>
        <w:spacing w:after="0" w:line="253" w:lineRule="auto"/>
        <w:rPr>
          <w:sz w:val="20"/>
          <w:szCs w:val="20"/>
          <w:color w:val="auto"/>
        </w:rPr>
      </w:pPr>
      <w:r>
        <w:rPr>
          <w:rFonts w:ascii="Arial" w:cs="Arial" w:eastAsia="Arial" w:hAnsi="Arial"/>
          <w:sz w:val="18"/>
          <w:szCs w:val="18"/>
          <w:color w:val="auto"/>
        </w:rPr>
        <w:t>Smart meters have two-way communication capability to automatically and regularly collect and transmit meter data to support various applications beyond monthly billings. Our smart metering solutions have substantially more features and functions than our advanced metering systems and technology. Smart meters are capable of collecting and storing interval data, remotely connecting and disconnecting, sending detailed information, receiving commands, and may interface with other devices, such as in-home displays, smart thermostats and appliances, home area networks, and advanced control systems.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3" w:lineRule="exact"/>
        <w:rPr>
          <w:sz w:val="20"/>
          <w:szCs w:val="20"/>
          <w:color w:val="auto"/>
        </w:rPr>
      </w:pPr>
    </w:p>
    <w:p>
      <w:pPr>
        <w:jc w:val="both"/>
        <w:ind w:left="420"/>
        <w:spacing w:after="0" w:line="269"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w w:val="97"/>
              </w:rPr>
              <w:t>Annual Bookings</w:t>
            </w:r>
          </w:p>
        </w:tc>
        <w:tc>
          <w:tcPr>
            <w:tcW w:w="400" w:type="dxa"/>
            <w:vAlign w:val="bottom"/>
          </w:tcPr>
          <w:p>
            <w:pPr>
              <w:spacing w:after="0"/>
              <w:rPr>
                <w:sz w:val="20"/>
                <w:szCs w:val="20"/>
                <w:color w:val="auto"/>
              </w:rPr>
            </w:pPr>
          </w:p>
        </w:tc>
        <w:tc>
          <w:tcPr>
            <w:tcW w:w="190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 Backlog</w:t>
            </w:r>
          </w:p>
        </w:tc>
        <w:tc>
          <w:tcPr>
            <w:tcW w:w="32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12-Month Backlog</w:t>
            </w: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December 31, 2011</w:t>
            </w:r>
          </w:p>
        </w:tc>
        <w:tc>
          <w:tcPr>
            <w:tcW w:w="26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2,120</w:t>
            </w:r>
          </w:p>
        </w:tc>
        <w:tc>
          <w:tcPr>
            <w:tcW w:w="40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1,296</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766</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2010</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2,396</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1,620</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r>
      <w:tr>
        <w:trPr>
          <w:trHeight w:val="338"/>
        </w:trPr>
        <w:tc>
          <w:tcPr>
            <w:tcW w:w="6340" w:type="dxa"/>
            <w:vAlign w:val="bottom"/>
            <w:gridSpan w:val="4"/>
          </w:tcPr>
          <w:p>
            <w:pPr>
              <w:jc w:val="right"/>
              <w:ind w:right="1110"/>
              <w:spacing w:after="0"/>
              <w:rPr>
                <w:sz w:val="20"/>
                <w:szCs w:val="20"/>
                <w:color w:val="auto"/>
              </w:rPr>
            </w:pPr>
            <w:r>
              <w:rPr>
                <w:rFonts w:ascii="Arial" w:cs="Arial" w:eastAsia="Arial" w:hAnsi="Arial"/>
                <w:sz w:val="18"/>
                <w:szCs w:val="18"/>
                <w:color w:val="auto"/>
                <w:w w:val="98"/>
              </w:rPr>
              <w:t>Information on bookings by our operating segments is as follows:</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20"/>
                <w:szCs w:val="20"/>
                <w:color w:val="auto"/>
              </w:rPr>
            </w:pPr>
          </w:p>
        </w:tc>
        <w:tc>
          <w:tcPr>
            <w:tcW w:w="18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 Bookings</w:t>
            </w:r>
          </w:p>
        </w:tc>
        <w:tc>
          <w:tcPr>
            <w:tcW w:w="48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b w:val="1"/>
                <w:bCs w:val="1"/>
                <w:color w:val="auto"/>
              </w:rPr>
              <w:t>Energy</w:t>
            </w:r>
          </w:p>
        </w:tc>
        <w:tc>
          <w:tcPr>
            <w:tcW w:w="580" w:type="dxa"/>
            <w:vAlign w:val="bottom"/>
          </w:tcPr>
          <w:p>
            <w:pPr>
              <w:spacing w:after="0"/>
              <w:rPr>
                <w:sz w:val="20"/>
                <w:szCs w:val="20"/>
                <w:color w:val="auto"/>
              </w:rPr>
            </w:pPr>
          </w:p>
        </w:tc>
        <w:tc>
          <w:tcPr>
            <w:tcW w:w="1700" w:type="dxa"/>
            <w:vAlign w:val="bottom"/>
          </w:tcPr>
          <w:p>
            <w:pPr>
              <w:jc w:val="right"/>
              <w:ind w:right="770"/>
              <w:spacing w:after="0"/>
              <w:rPr>
                <w:sz w:val="20"/>
                <w:szCs w:val="20"/>
                <w:color w:val="auto"/>
              </w:rPr>
            </w:pPr>
            <w:r>
              <w:rPr>
                <w:rFonts w:ascii="Arial" w:cs="Arial" w:eastAsia="Arial" w:hAnsi="Arial"/>
                <w:sz w:val="18"/>
                <w:szCs w:val="18"/>
                <w:b w:val="1"/>
                <w:bCs w:val="1"/>
                <w:color w:val="auto"/>
              </w:rPr>
              <w:t>Water</w:t>
            </w:r>
          </w:p>
        </w:tc>
      </w:tr>
      <w:tr>
        <w:trPr>
          <w:trHeight w:val="27"/>
        </w:trPr>
        <w:tc>
          <w:tcPr>
            <w:tcW w:w="4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b w:val="1"/>
                <w:bCs w:val="1"/>
                <w:color w:val="auto"/>
              </w:rPr>
              <w:t>(in millions)</w:t>
            </w: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December 31, 2011</w:t>
            </w:r>
          </w:p>
        </w:tc>
        <w:tc>
          <w:tcPr>
            <w:tcW w:w="32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2,120</w:t>
            </w:r>
          </w:p>
        </w:tc>
        <w:tc>
          <w:tcPr>
            <w:tcW w:w="4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1,610</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2010</w:t>
            </w:r>
          </w:p>
        </w:tc>
        <w:tc>
          <w:tcPr>
            <w:tcW w:w="32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2,396</w:t>
            </w:r>
          </w:p>
        </w:tc>
        <w:tc>
          <w:tcPr>
            <w:tcW w:w="48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1,866</w:t>
            </w:r>
          </w:p>
        </w:tc>
        <w:tc>
          <w:tcPr>
            <w:tcW w:w="5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4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3" w:lineRule="exact"/>
        <w:rPr>
          <w:sz w:val="20"/>
          <w:szCs w:val="20"/>
          <w:color w:val="auto"/>
        </w:rPr>
      </w:pPr>
    </w:p>
    <w:p>
      <w:pPr>
        <w:jc w:val="both"/>
        <w:ind w:left="420"/>
        <w:spacing w:after="0" w:line="252" w:lineRule="auto"/>
        <w:rPr>
          <w:sz w:val="20"/>
          <w:szCs w:val="20"/>
          <w:color w:val="auto"/>
        </w:rPr>
      </w:pPr>
      <w:r>
        <w:rPr>
          <w:rFonts w:ascii="Arial" w:cs="Arial" w:eastAsia="Arial" w:hAnsi="Arial"/>
          <w:sz w:val="18"/>
          <w:szCs w:val="18"/>
          <w:color w:val="auto"/>
        </w:rPr>
        <w:t>We operate under the Itron brand worldwide and manage and report under two operating segments, Energy and Water. The transition to the new organizational structure, including changes to operations, as well as financial and management systems, was completed in the first quarter of 2012. The segment discussions in Management's Discussion and Analysis of Financial Condition and Results of Operations (MD&amp;A) and our consolidated financial statements have been revised to reflect our new operating segments. Refer to Item 7: "Management's Discussion and Analysis of Financial Condition and Results of Operations" and Item 8: "Financial Statements and Supplementary Data," both of which are included in this Annual Report on Form 10-K.</w:t>
      </w:r>
    </w:p>
    <w:p>
      <w:pPr>
        <w:spacing w:after="0" w:line="194"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The Energy operating segment includes our global electricity and gas products, while the Water operating segment includes our global water and heat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3"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We use a combination of direct and indirect sales channels in both operating segments. A direct sales force is utilized for the largest electric, natural gas, and water utilities, with which we have long-established relationships. For smaller utilities, we typically use an indirect sales force that consists of distributors, sales representatives, partners, and meter manufacturer representatives.</w:t>
      </w:r>
    </w:p>
    <w:p>
      <w:pPr>
        <w:spacing w:after="0" w:line="136" w:lineRule="exact"/>
        <w:rPr>
          <w:sz w:val="20"/>
          <w:szCs w:val="20"/>
          <w:color w:val="auto"/>
        </w:rPr>
      </w:pPr>
    </w:p>
    <w:p>
      <w:pPr>
        <w:jc w:val="both"/>
        <w:ind w:left="420"/>
        <w:spacing w:after="0" w:line="312" w:lineRule="auto"/>
        <w:rPr>
          <w:sz w:val="20"/>
          <w:szCs w:val="20"/>
          <w:color w:val="auto"/>
        </w:rPr>
      </w:pPr>
      <w:r>
        <w:rPr>
          <w:rFonts w:ascii="Arial" w:cs="Arial" w:eastAsia="Arial" w:hAnsi="Arial"/>
          <w:sz w:val="16"/>
          <w:szCs w:val="16"/>
          <w:color w:val="auto"/>
        </w:rPr>
        <w:t>No single customer represented more than 10% of total revenues for the years ended December 31, 2012 and 2011. One customer, Southern California Edison, in our Energy operating segment, represented 11% of total company revenues for the year ended December 31, 2010. Our 10 largest customers in each of the years ended December 31, 2012, 2011, and 2010, accounted for approximately 27%, 33%, and 34% of total revenues,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w:t>
      </w:r>
    </w:p>
    <w:p>
      <w:pPr>
        <w:spacing w:after="0" w:line="23" w:lineRule="exact"/>
        <w:rPr>
          <w:sz w:val="20"/>
          <w:szCs w:val="20"/>
          <w:color w:val="auto"/>
        </w:rPr>
      </w:pPr>
    </w:p>
    <w:p>
      <w:pPr>
        <w:jc w:val="both"/>
        <w:ind w:left="420"/>
        <w:spacing w:after="0" w:line="270" w:lineRule="auto"/>
        <w:rPr>
          <w:sz w:val="20"/>
          <w:szCs w:val="20"/>
          <w:color w:val="auto"/>
        </w:rPr>
      </w:pPr>
      <w:r>
        <w:rPr>
          <w:rFonts w:ascii="Arial" w:cs="Arial" w:eastAsia="Arial" w:hAnsi="Arial"/>
          <w:sz w:val="17"/>
          <w:szCs w:val="17"/>
          <w:color w:val="auto"/>
        </w:rPr>
        <w:t>Our products require a wide variety of components and materials, which are subject to price and supply fluctuations. We enter into standard purchase orders in the ordinary course of business, which can vary in terms and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most of our material requirements, certain components and raw materials are supplied by sole-source vendors, and our ability to perform certain contracts depends on the availability of these materials. Refer to Item 1A: “Risk Factors”, included in this Annual Report on Form 10-K, for further discussion related to supply risks.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Our product development is focused on both improving existing technology and developing innovative new technology for electricity, natural gas, water, and heat meters, data collection software, communication technologies, data warehousing, and knowledge application solutions. We spent approximately $179 million, $161 million, and $139 million on product development in 2012, 2011, and 2010, which represented 8%, 7%, and 6% of total revenues,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23" w:lineRule="exact"/>
        <w:rPr>
          <w:sz w:val="20"/>
          <w:szCs w:val="20"/>
          <w:color w:val="auto"/>
        </w:rPr>
      </w:pPr>
    </w:p>
    <w:p>
      <w:pPr>
        <w:jc w:val="both"/>
        <w:ind w:left="420"/>
        <w:spacing w:after="0" w:line="261" w:lineRule="auto"/>
        <w:rPr>
          <w:sz w:val="20"/>
          <w:szCs w:val="20"/>
          <w:color w:val="auto"/>
        </w:rPr>
      </w:pPr>
      <w:r>
        <w:rPr>
          <w:rFonts w:ascii="Arial" w:cs="Arial" w:eastAsia="Arial" w:hAnsi="Arial"/>
          <w:sz w:val="18"/>
          <w:szCs w:val="18"/>
          <w:color w:val="auto"/>
        </w:rPr>
        <w:t>As of December 31, 2012, we had approximately 8,500 people in our workforce, including permanent and temporary employees and contractors. We have not experienced significant work stoppages and consider our employee relations to be good.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3" w:lineRule="exact"/>
        <w:rPr>
          <w:sz w:val="20"/>
          <w:szCs w:val="20"/>
          <w:color w:val="auto"/>
        </w:rPr>
      </w:pPr>
    </w:p>
    <w:p>
      <w:pPr>
        <w:jc w:val="both"/>
        <w:ind w:left="420"/>
        <w:spacing w:after="0" w:line="287" w:lineRule="auto"/>
        <w:rPr>
          <w:sz w:val="20"/>
          <w:szCs w:val="20"/>
          <w:color w:val="auto"/>
        </w:rPr>
      </w:pPr>
      <w:r>
        <w:rPr>
          <w:rFonts w:ascii="Arial" w:cs="Arial" w:eastAsia="Arial" w:hAnsi="Arial"/>
          <w:sz w:val="16"/>
          <w:szCs w:val="16"/>
          <w:color w:val="auto"/>
        </w:rPr>
        <w:t>We provide a broad portfolio of products, systems, and services to electric, gas and water utility customers globally and, consequently, operate within a large and complex competitive landscape. Some of our competitors have diversified product portfolios and operate in multiple geographic markets, while others focus on specific regional markets and/or certain types of products, including some low-cost suppliers based in China and India that have significant market shares for standard meter sales in their respective home/regional markets. Some of our competitors are part of multinational conglomerates. Our primary competitors for each operating segment are discussed below. We believe that our competitive advantage is based on our in-depth knowledge of the utility industry, our capacity to innovate, our ability to address customer concerns by providing complete end-to-end integrated solutions (including metering, network communications, data collection systems, meter data management software, and other metering software applications), our established customer relationships, and our track record of delivering reliable, accurate, and long-lived products and services. Refer to Item 1A: “Risk Factors” included in this Annual Report on Form 10-K for a discussion of the competitive pressures we face.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Energy</w:t>
      </w:r>
    </w:p>
    <w:p>
      <w:pPr>
        <w:spacing w:after="0" w:line="185" w:lineRule="exact"/>
        <w:rPr>
          <w:sz w:val="20"/>
          <w:szCs w:val="20"/>
          <w:color w:val="auto"/>
        </w:rPr>
      </w:pPr>
    </w:p>
    <w:p>
      <w:pPr>
        <w:jc w:val="both"/>
        <w:ind w:left="420" w:right="20"/>
        <w:spacing w:after="0" w:line="277" w:lineRule="auto"/>
        <w:rPr>
          <w:sz w:val="20"/>
          <w:szCs w:val="20"/>
          <w:color w:val="auto"/>
        </w:rPr>
      </w:pPr>
      <w:r>
        <w:rPr>
          <w:rFonts w:ascii="Arial" w:cs="Arial" w:eastAsia="Arial" w:hAnsi="Arial"/>
          <w:sz w:val="18"/>
          <w:szCs w:val="18"/>
          <w:color w:val="auto"/>
        </w:rPr>
        <w:t>We are among the leading global suppliers of electricity and gas metering products, including standard meters, communication and network technologies, and other advanced and smart metering systems and technologies.</w:t>
      </w:r>
    </w:p>
    <w:p>
      <w:pPr>
        <w:spacing w:after="0" w:line="170" w:lineRule="exact"/>
        <w:rPr>
          <w:sz w:val="20"/>
          <w:szCs w:val="20"/>
          <w:color w:val="auto"/>
        </w:rPr>
      </w:pPr>
    </w:p>
    <w:p>
      <w:pPr>
        <w:jc w:val="both"/>
        <w:ind w:left="420"/>
        <w:spacing w:after="0" w:line="297" w:lineRule="auto"/>
        <w:rPr>
          <w:sz w:val="20"/>
          <w:szCs w:val="20"/>
          <w:color w:val="auto"/>
        </w:rPr>
      </w:pPr>
      <w:r>
        <w:rPr>
          <w:rFonts w:ascii="Arial" w:cs="Arial" w:eastAsia="Arial" w:hAnsi="Arial"/>
          <w:sz w:val="16"/>
          <w:szCs w:val="16"/>
          <w:color w:val="auto"/>
        </w:rPr>
        <w:t>Within the electricity business line, our primary global competitors include Landis+Gyr (Toshiba) and Elster (Melrose PLC). Other major competitors for electricity products include Sensus (The Resolute Fund, L.P.) in the North America market, GE Energy (General Electric Company) in the North America and Asia Pacific (APAC) markets, and Echelon in the Europe, Middle East and Africa (EMEA) market. Each of these companies offer some form of advanced/smart meter technologies as well as standard meters. In addition, we compete with companies that specialize in communication and network technologies that are used with third-party standard meters, including Aclara (ESCO Technologies), Silver Spring Networks, and Trilliant.</w:t>
      </w:r>
    </w:p>
    <w:p>
      <w:pPr>
        <w:spacing w:after="0" w:line="158"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Our primary global competitors for gas products include Elster, Sensus, and Landis+Gyr. For gas meter communication modules, we also compete with Aclara primarily in North America.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jc w:val="center"/>
        <w:ind w:right="1014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Water</w:t>
      </w:r>
    </w:p>
    <w:p>
      <w:pPr>
        <w:spacing w:after="0" w:line="185"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We are one of the leading global suppliers of standard and advanced water meters and communication modules. Our primary competitors include Elster, Sensus, Diehl Metering (Diehl Stifung &amp; Co. KG), Neptune Technologies (Roper Industries), and Badger. Each of these companies offers some form of advanced meter technologies and operates in various major world markets, except for Badger and Neptune Technologies, which primarily operate in North America. For water meter communication modules, we also compete with Aclara.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product development, joint sales and marketing, or access to new geographic markets. Refer to Item 1A: “Risk Factors” included in this Annual Report on Form 10-K for a discussion of risks associated with strategic alliances.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Our patents and patent applications cover a range of technologies, which relate to standard metering, advanced metering systems and technology, smart metering systems and technology, meter data management software, and knowledge application solutions. We also rely on a combination of copyrights and trade secrets to protect our products and technologies.</w:t>
      </w:r>
    </w:p>
    <w:p>
      <w:pPr>
        <w:spacing w:after="0" w:line="136" w:lineRule="exact"/>
        <w:rPr>
          <w:sz w:val="20"/>
          <w:szCs w:val="20"/>
          <w:color w:val="auto"/>
        </w:rPr>
      </w:pPr>
    </w:p>
    <w:p>
      <w:pPr>
        <w:jc w:val="both"/>
        <w:ind w:left="420"/>
        <w:spacing w:after="0" w:line="312" w:lineRule="auto"/>
        <w:rPr>
          <w:sz w:val="20"/>
          <w:szCs w:val="20"/>
          <w:color w:val="auto"/>
        </w:rPr>
      </w:pPr>
      <w:r>
        <w:rPr>
          <w:rFonts w:ascii="Arial" w:cs="Arial" w:eastAsia="Arial" w:hAnsi="Arial"/>
          <w:sz w:val="16"/>
          <w:szCs w:val="16"/>
          <w:color w:val="auto"/>
        </w:rPr>
        <w:t>Disputes over the ownership, registration, and enforcement of intellectual property rights arise in the ordinary course of our business. While we believe patents and trademarks are important to our operations and in the aggregate constitute valuable assets, no single patent or trademark, or group of patents or trademarks, is critical to the success of our business. We license some of our technology to other companies, some of which are our competitors.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3" w:lineRule="exact"/>
        <w:rPr>
          <w:sz w:val="20"/>
          <w:szCs w:val="20"/>
          <w:color w:val="auto"/>
        </w:rPr>
      </w:pPr>
    </w:p>
    <w:p>
      <w:pPr>
        <w:jc w:val="both"/>
        <w:ind w:left="420"/>
        <w:spacing w:after="0" w:line="261"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We believe we are in compliance with environmental laws, rules, and regulations applicable to the operation of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21,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Age</w:t>
            </w:r>
          </w:p>
        </w:tc>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Philip C. Mezey</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Steven M. Helmbrecht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Sr. Vice President and Chief Financial Officer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John W. Holleran</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Marcel Regnier</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President and Chief Operating Officer, Water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Jared P. Serff</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Vice President, Competitive Resources</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Russell E. Vanos</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Sr. Vice President, Strategy and Business Development</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Shannon M. Votava</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Vice President, General Counsel and Corporate Secretary</w:t>
            </w:r>
          </w:p>
        </w:tc>
      </w:tr>
    </w:tbl>
    <w:p>
      <w:pPr>
        <w:spacing w:after="0" w:line="3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Philip C. Mezey </w:t>
      </w:r>
      <w:r>
        <w:rPr>
          <w:rFonts w:ascii="Arial" w:cs="Arial" w:eastAsia="Arial" w:hAnsi="Arial"/>
          <w:sz w:val="18"/>
          <w:szCs w:val="18"/>
          <w:color w:val="auto"/>
        </w:rPr>
        <w:t>is President and Chief Executive Officer, and a member of our Board of Directors. Mr. Mezey was appointed to his current position and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effective January 1, 2013. Mr. Mezey joined Itron in March 2003 as Managing Director of Software Development for Itron’s Energy Management Solutions Group as part of Itron’s acquisition of Silicon Energy Corp. Mr. Mezey was promoted to Group Vice President and Manager of Software Solutions in 2004. In 2005, Mr. Mezey became Sr. Vice President, Software Solutions, and in 2007 Mr. Mezey became Sr. Vice President and Chief Operating Officer, Itron North America. Mostly recently, Mr. Mezey served as President and Chief Operating Officer, Energy from March 2011 through December 2012.</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Steven M. Helmbrecht </w:t>
      </w:r>
      <w:r>
        <w:rPr>
          <w:rFonts w:ascii="Arial" w:cs="Arial" w:eastAsia="Arial" w:hAnsi="Arial"/>
          <w:sz w:val="18"/>
          <w:szCs w:val="18"/>
          <w:color w:val="auto"/>
        </w:rPr>
        <w:t>is Sr. Vice President and Chief Financial Officer. Mr. Helmbrecht joined Itron in 2002 as Vice President and General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and was named Sr. Vice President and Chief Financial Officer in 2005. Previously, Mr. Helmbrecht was Chief Financial Officer of LineSoft Corporation, which was acquired by Itron in 2002.</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John W. Holleran </w:t>
      </w:r>
      <w:r>
        <w:rPr>
          <w:rFonts w:ascii="Arial" w:cs="Arial" w:eastAsia="Arial" w:hAnsi="Arial"/>
          <w:sz w:val="18"/>
          <w:szCs w:val="18"/>
          <w:color w:val="auto"/>
        </w:rPr>
        <w:t>is Executive Vice President and Chief Operating Officer, effective January 1, 2013. Mr. Holleran joined Itron in January 2007 as Sr.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General Counsel, and Corporate Secretary. Beginning in January 2012, Mr. Holleran served as Itron's Sr. Vice President, Special Projects, and Corporate Secretary.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Marcel Regnier </w:t>
      </w:r>
      <w:r>
        <w:rPr>
          <w:rFonts w:ascii="Arial" w:cs="Arial" w:eastAsia="Arial" w:hAnsi="Arial"/>
          <w:sz w:val="18"/>
          <w:szCs w:val="18"/>
          <w:color w:val="auto"/>
        </w:rPr>
        <w:t>is President and Chief Operating Officer, Water. Mr. Regnier joined Itron in April 2007 as part of our acquisition of Actaris. Mr. Regnier</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Managing Director of Actaris' water and heat business unit from 2001, when Actaris was created as a result of the reorganization of Schlumberger’s operations, until April 2008, when he was promoted to Sr. Vice President and Chief Operating Officer, Itron International. In March 2011, Mr. Regnier was promoted to his current position.</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Jared P. Serff </w:t>
      </w:r>
      <w:r>
        <w:rPr>
          <w:rFonts w:ascii="Arial" w:cs="Arial" w:eastAsia="Arial" w:hAnsi="Arial"/>
          <w:sz w:val="18"/>
          <w:szCs w:val="18"/>
          <w:color w:val="auto"/>
        </w:rPr>
        <w:t>is Vice President, Competitive Resources. Mr. Serff joined Itron in July 2004 upon our acquisition of Schlumberger’s electricity metering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Mr. Serff spent six years with Schlumberger, the last four of which as Director of Human Resources with Schlumberger’s electricity metering business where he was in charge of personnel for all locations in Canada, Mexico, France, Taiwan, and the United States.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Russell E. Vanos </w:t>
      </w:r>
      <w:r>
        <w:rPr>
          <w:rFonts w:ascii="Arial" w:cs="Arial" w:eastAsia="Arial" w:hAnsi="Arial"/>
          <w:sz w:val="17"/>
          <w:szCs w:val="17"/>
          <w:color w:val="auto"/>
        </w:rPr>
        <w:t>is Sr. Vice President, Strategy and Business Development, effective January 1, 2013. Mr. Vanos joined Itron in 1980 and since then has held</w:t>
      </w:r>
      <w:r>
        <w:rPr>
          <w:rFonts w:ascii="Arial" w:cs="Arial" w:eastAsia="Arial" w:hAnsi="Arial"/>
          <w:sz w:val="17"/>
          <w:szCs w:val="17"/>
          <w:b w:val="1"/>
          <w:bCs w:val="1"/>
          <w:color w:val="auto"/>
        </w:rPr>
        <w:t xml:space="preserve"> </w:t>
      </w:r>
      <w:r>
        <w:rPr>
          <w:rFonts w:ascii="Arial" w:cs="Arial" w:eastAsia="Arial" w:hAnsi="Arial"/>
          <w:sz w:val="17"/>
          <w:szCs w:val="17"/>
          <w:color w:val="auto"/>
        </w:rPr>
        <w:t>various positions in sales, marketing, and operations. Most recently Mr. Vanos served as Vice President, Global Smart Grid Solutions and Business Development from November 2011 through December 2012. Prior to this role Mr. Vanos served as Vice President and General Manager, Sales and Marketing from January 2011 to November 2011 and as Vice President, Marketing from January 2007 through December 2010.</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Shannon M. Votava </w:t>
      </w:r>
      <w:r>
        <w:rPr>
          <w:rFonts w:ascii="Arial" w:cs="Arial" w:eastAsia="Arial" w:hAnsi="Arial"/>
          <w:sz w:val="18"/>
          <w:szCs w:val="18"/>
          <w:color w:val="auto"/>
        </w:rPr>
        <w:t>is Vice President, General Counsel and Corporate Secretary. Ms. Votava joined Itron in May 2010 as Assistant General Counsel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promoted to Vice President and General Counsel on January 1, 2012, and she assumed the responsibilities of Corporate Secretary on January 1, 2013. Before joining Itron, Ms. Votava was Associate General Counsel, Commercial at Cooper Industries plc from October 2008 to April 2010 and General Counsel at Honeywell Electronic Materials, Inc. from 2003 to October 2008.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fluctuating interest rates. We have experienced, and may in the future experience, variability in operating results on an annual and a quarterly basis as a result of these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utility industry is subject to substantial government regulation. Regulations have often influenced the frequency of meter replacements. Sales cycles for standalone meter products have typically been based on annual or bi-annual bid-based agreements. Utilities place purchase orders against these agreements as their inventories decline, which can create fluctuations in our sales volumes.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cycles for advanced and smart metering systems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1252 of the U.S. Energy Policy Act of 2005 requires electric utilities to consider offering their customers time-based rates. The Act also directs these utilities and state utility commissions to study and evaluate methods for implementing demand response, to shift consumption away from peak hours, and to improve power generation.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European Union has issued the EU Energy Package, which includes directives and regulations intended to strengthen consumer rights and protection in the EU energy market. The EU’s 20-20-20 goals include a 20% increase in energy efficiency, a 20% reduction of carbon dioxide emissions compared with 1990 levels, and producing 20% of its energy from renewable sources by 2020. The package requires EU Member States to ensure the implementation of smart metering systems and outlines deployment by 2022, with 80% of electric consumers equipped with smart metering systems by 2020.</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believe these initiatives will provide opportunities for sales of our products, the pace at which these markets will grow is unknown due to the timing of legislation, regulatory approvals related to the deployment of new technology, capital budgets of utilities, and purchasing decisions by our customers.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 is generated with a limited number of customers.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revenues have been concentrated with a limited number of customers, which change over time. Our largest single customer represented 8% of total revenues for the year ended December 31, 2012. We are often a party to large, multi-year contracts that are subject to cancellation or rescheduling by our customers due to many factors, such as extreme, unexpected weather conditions that cause our customers to redeploy resources, convenience, regulatory issues, or acts of terrorism. Cancellation or postponement of one or more of these significant contracts could have a material adverse effect on our financial and operating results. In addition, if a large customer contract is not replaced upon its expiration with new business of similar magnitude, our financial and operating results would be adversely affected.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 enter into agreements related to the deployment of smart metering systems and technology, the value of certain contracts can be substantially larger than contracts we have had with our customers in the past. These deployments last several years and can exceed the length of prior deployment agreements. The terms and conditions of these smart metering system agreements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related to testing, contractual liabilities, warranties, performance, and indemnities can be substantially different than the terms and conditions associated with our previous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results may fluctuate substantially due to several additional factors.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experienced variability in quarterly results, including losses, and believe our quarterly results will continue to fluctuate as a result of many factors, including those risks and events included throughout this section. Additional factors that may cause the price of our common stock to decline include:</w:t>
      </w:r>
    </w:p>
    <w:p>
      <w:pPr>
        <w:spacing w:after="0" w:line="9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higher proportion of products sold with fewer features and functionality, resulting in lower revenues and gross margins;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shift in sales channel mix, which could impact the revenue received and commissions paid;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sales volumes, which could result in lower gross margins as driven by lower absorption of manufacturing costs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accounting standards or practices that may impact us to a greater degree than other companies due to our product mix, which would impact revenue recognition, or our borrowing structure;</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change in existing taxation rules or practices due to our specific operating structure that may not be comparable to other companies;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shortfall in sales without a proportional decrease in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product-failure exposure.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are complex and may contain defects or experience failures due to any number of issues in design, materials, deployment and/or use. If any of our products contain a defect, compatibility or interoperability issue or other error, we may have to devote significant time and resources to find and correct the issue. We provide product warranties for varying lengths of time and establish allowances in anticipation of warranty expenses. In addition, we record contingent liabilities for additional product-failure related costs. These warranty and related product-failure allowances may be inadequate due to product defects,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and other third-party vendors; result in the loss of business to competitors; or result in litigation against us. We may incur additional warranty and related expenses in the future with respect to new or established products, which could materially and adversely affect our operations and financial position.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customer contracts may contain provisions that could cause us to incur penalties, be liable for damages, and/or incur unanticipated expenses with respect to the functionality, deployment, operation, and availability of our products and services.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new competitive products.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success will depend, in part, on our ability to continue to design and manufacture new competitive products and to enhance and sustain our existing products, keep pace with technological advances and changing customer requirements, gain international market acceptance, and manage other factors in the markets in which we sell our products. Product development will require continued investment in order to maintain our competitive position, and the periods in which we incur significant product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In addition, we may not meet our product development schedules. New products often require certifications or regulatory approvals before the products can be used and we cannot be certain that our new products will be approved in a timely manner. Finally, we may not achieve market acceptance of our new products and services.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the availability and regulation of radio spectrum and interference with the radio spectrum that we use.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Federal Communications Commission (FCC) in the United States.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advanced and smart metering systems are typically Part 15 devices that transmit information to (and receive information from, if applicable) handheld, mobile, or fixed network systems pursuant to these rules.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FCC has initiated a rulemaking proceeding in which it is considering adopting “spectrum etiquette” requirements for unlicensed Part 15 devices operating in the 902-928 MHz band, which many of our advanced and smart metering systems utilize. The outcome of the proceeding may require us to make material changes to our equipment.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FCC has also adopted service rules governing the use of the 1427-1432 MHz band. We use this band with various devices in our network solutions. Among other things, the rules reserve parts of the band for general telemetry, including utility telemetry, and provide that nonexclusive licenses will be issued in accordance with Part 90 rules and the recommendations of frequency coordinators. Telemetry licensees must comply with power limits and out-of-band emission requirements that are designed to avoid interference with other users of the band. The FCC issues licenses on a nonexclusive basis and it is possible that the demand for spectrum will exceed supply.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advanced and smart metering systems typically transmit to (and receive information from, if applicable) handheld, mobile, or fixed network reading devices in unlicensed bands pursuant to rules regulating such use. Generally, we use the unlicensed Industrial, Scientific, and Medical (ISM) bands with the various reading devices in our solutions. In Europe, we generally use the 433 MHz and 868 MHz bands. In the rest of the world, we primarily use the 433 MHz and 2.4000-2.4835 GHz bands, as well as other local unlicensed bands. To the extent we introduce new products designed for use in the United States or another country into a new market, such products may require significant modification or redesign in order to meet frequency requirements and other regulatory specifications. In some countries, limitations on frequency availability or the cost of making necessary modifications may preclude us from selling our products in those countries. In addition, new consumer products may create interference with the performance of our products, which could lead to claims against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adverse publicity, consumer or political opposition, or liability associated with our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safety and security of the power grid, the accuracy and protection of the data collected by meters and transmitted via the smart grid, concerns about the safety and perceived health risks of using radio frequency communications, and privacy concerns of monitoring home appliance energy usage have been the focus of recent adverse publicity. Negative publicity and consumer opposition may cause utilities or their regulators to delay or modify planned smart grid initiatives. Smart grid projects may be, or may be perceived as, unsuccessful.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subject to claims that there are adverse health effects from the radio frequencies utilized in connection with our products. If these claims prevail, our customers could suspend implementation or purchase substitute products, which could cause a loss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facing increasing competition.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Some competitors may enter markets we serve and sell products at lower prices in order to gain or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In addition, there is a risk that low-cost providers will enter, or form alliances or cooperative relationships with our competitors, thereby contributing to future price erosion. Some of our products and services may become commoditized and we may have to adjust the prices of some of our products to stay competitive. Should we fail to compete successfully with current or future competitors, we could experience material adverse effects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New regulations related to “conflict minerals” may force us to incur additional expenses, may result in damage to our business reputation, and may adversely impact our ability to conduct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2012, under the Dodd-Frank Wall Street Reform and Consumer Protection Act of 2010, the SEC adopted new requirements for companies that use certain minerals and derivative metals (referred to as “conflict minerals,” regardless of their actual country of origin) in their products. Some of these metals are commonly used in electronic equipment and devices, including our products. These new requirements will require companies to investigate, disclose and report whether or not such metals originated from the Democratic Republic of Congo or adjoining countries and will require due diligence efforts in fiscal 2013, with initial disclosure requirements beginning in May 2014. There will be costs associated with complying with these disclosure requirements, including for diligence to determine the sources of conflict minerals used in our products and other potential changes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products, processes or sources of supply as a consequence of such verification activities. The implementation of these rules could adversely affect the sourcing, supply, and pricing of materials used in our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has recently heightened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of the United Kingdom. The costs for complying with these and similar laws may be significant and could require significant management time and focus. Any violation of these or similar laws, intentional or unintentional, could have a material adverse effect on our business, financial condition, or results of operations.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negative implications of such events for the global economy, may negatively impact our business, operating results, and financial condition.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recent downgrade of the U.S. credit rating and the possibility that some European Union (EU) member states will default on their debt obligations have contributed to significant uncertainty about the stability of global credit and financial markets. The credit and economic conditions within some EU countries including Greece, Ireland, Italy, Portugal, and Spain, have contributed to the instability in some global credit and financial markets. While the ultimate outcome of these events cannot be predicted, it is possible that such events may have a negative impact on the global economy and our business, operating results,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and adverse tax burdens.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Fluctuations in the value of international currencies may impact our operating results due to the translation to the U.S. dollar as well as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There can be no assurance that these factors will not have a material adverse effect on our future international sales and, consequently,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 and components.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products, subassemblies, and system components are procured from limited sources. Our reliance on such limited sources involves certain risks, including the possibility of shortages and reduced control over delivery schedules, quality, costs, and our vendors’ access to capital upon acceptable terms. Any adverse change in the supply, or price, of these components could adversely affect our business, financial condition, and results of operations. In addition, we depend on a small number of contract manufacturing vendors for a large portion of our low-volume manufacturing business and all of our repair services for our domestic handheld meter reading units. Should any of these vendors become unable to perform up to their responsibilities, our operations could be materially disrupted.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significant intangible assets, long-lived assets, goodwill, and deferred tax assets that are susceptible to valuation adjustments as a result of changes in various factors or conditions.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impairment of amortizable intangible and long-lived assets whenever events or changes in circumstances indicate that the carrying value may not be recoverable. Factors that could trigger an impairment of such assets include the following:</w:t>
      </w:r>
    </w:p>
    <w:p>
      <w:pPr>
        <w:spacing w:after="0" w:line="14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 and</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the potential impairment of goodwill each year as of October 1. We also assess the potential impairment of goodwill whenever events or changes in circumstances indicate that the carrying value may not be recoverable. Adverse changes in economic conditions or our operations could affect the assumptions we use to calculate the fair value, which in turn could result in an impairment charge in future periods that would impact our results of operations and financial position in that period.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realization of our deferred tax assets is supported in part by projections of future taxable income. 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Realization is not assured, and the amount of deferred tax assets considered realizable could be reduced in the near term if estimates of future taxable income during the carryforward periods are reduced or current tax planning strategies are not implemented.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 party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a variety of litigation that could adversely affect our results of operations and financial condition.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are involved in litigation that arises from our business. Litigation may, for example, relate to alleged infringements of intellectual property rights of others. Non-practicing entities may also make infringement claims in order to reach a settlement with us. In addition, these entities may bring claims against our customers, which, in some instances, could result in an indemnification of the customer. Litigation may also relate to product failure or product liability claims, contractual disputes, employment matters, or securities litigation. Litigation can be expensive to defend and can divert the attention of management and other personnel for long periods of time, regardless of the ultimate outcome. We may be required to pay damage awards or settlements or become subject to equitable remedies that could adversely affect our financial condition and results of operations. While we currently maintain insurance coverage, such insurance may not provide adequate coverage against potential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success depends in large part on the efforts of our highly qualified technical and management personnel and highly skilled individuals in all disciplines.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loss of one or more of these employees and the inability to attract and retain qualified replacements could have a material adverse effect on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expected benefits from strategic alliances.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and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product development or experience other operational difficulties.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have risks.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complete additional acquisitions or make investments in the future, both within and outside of the United States. In order to finance future acquisitions, we may need to raise additional funds through public or private financings, and there are no assurances that such financing would be available at acceptable terms. Acquisitions and investments involve numerous risks such as the diversion of senior management’s attention; unsuccessful integration of the acquired entity’s personnel, operations, technologies, and products; incurrence of significant expenses to meet an acquiree's customer contractual commitments; lack of market acceptance of new services and technologies; or difficulties in operating businesses in international legal jurisdictions. Failure to properly or adequately address these issues could result in the diversion of management’s attention and resources and materially and adversely impact our ability to manage our business. In addition, acquisitions and investments in third parties may involve the assumption of obligations, significant write-offs, or other charges associated with the acquisition. Impairment of an investment, goodwill, or an intangible asset may result if these risks were to materialize. For investments in entities that are not wholly owned by Itron, such as joint ventures, a loss of control as defined by U.S. generally accepted accounting principles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completing a phased upgrade of our primary enterprise resource planning (ERP) systems to allow for greater depth and breadth of functionality worldwide. System conversions are expensive and time consuming undertakings that impact all areas of the Company. While successful implementations of each phase will provide many benefits to us, an unsuccessful or delayed implementation of any particular phase may cost us significant time and resources, as well as expense.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and unanticipated tax liabilities could adversely affect our effective income tax rate and profitability.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 We regularly assess all of these matters to determine the adequacy of our tax provision, which is subject to significant judgment.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credit facility limits our ability and the ability of many of our subsidiaries to take certain 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places restrictions on our ability, and the ability of many of our subsidiaries to, among other things: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incur more debt;</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w w:val="91"/>
              </w:rPr>
              <w:t>•  pay dividends, make distributions, and repurchase capital stock;</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make certain investments;</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create liens;</w:t>
            </w: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color w:val="auto"/>
              </w:rPr>
              <w:t>•  enter into transactions with affiliates;</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rPr>
              <w:t>•  enter into sale lease-back transactions;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merge or consolidate;</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transfer or sell assets.</w:t>
            </w:r>
          </w:p>
        </w:tc>
      </w:tr>
    </w:tbl>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credit facility contains other customary covenants, including the requirement to meet specified financial ratios. Our ability to borrow under our credit facility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 sufficient capital to replace the indebtedness on terms favorable to us or at all. In addition, in the case of an event of default under our secured indebtedness such as our credit facility, the lenders may be permitted to foreclose on our assets securing that indebtedness.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is sensitive to interest rate fluctuations that could impact our financial position and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service our indebtedness is dependent on our ability to generate cash, which is influenced by many factors beyond our control.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payments on or refinance our indebtedness, fund planned capital expenditures, and continue research and development will depend on our ability to generate cash in the future. This is dependent on the degree to which we succeed in executing our business plans, which is influenced, in part, by general economic, financial, competitive, legislative, regulatory, counterparty, and other risks that are beyond our control. We may need to refinance all or a portion of our indebtedness on or before maturity. We cannot provide assurance that we will be able to refinance any of our indebtedness on commercially reasonable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strength of some depository institutions has diminished and this trend may continue. 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credit facility consist of several participating financial institutions. Our revolving line of credit allows us to provide letters of credit in support of our obligations for customer contracts and provides additional liquidity. If our lenders are not 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or prevent fraud.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design and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We cannot be certain that these measures will ensure that we design, implement, and maintain adequate controls over our financial processes and reporting in the future, especially for acquisition targets that may not have been required to be in compliance with Section 404 of the Sarbanes-Oxley Act at the date of acquisition. Any failure to implement required new or improved controls, difficulties encountered in their implementation or operation, or difficulties in the assimilation of acquired businesses into our control system could harm our operating results or cause it to fail to meet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number of manufacturing facilities, service and distribution locations, and offices by region.</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720" w:type="dxa"/>
            <w:vAlign w:val="bottom"/>
            <w:gridSpan w:val="4"/>
          </w:tcPr>
          <w:p>
            <w:pPr>
              <w:ind w:left="980"/>
              <w:spacing w:after="0"/>
              <w:rPr>
                <w:sz w:val="20"/>
                <w:szCs w:val="20"/>
                <w:color w:val="auto"/>
              </w:rPr>
            </w:pPr>
            <w:r>
              <w:rPr>
                <w:rFonts w:ascii="Arial" w:cs="Arial" w:eastAsia="Arial" w:hAnsi="Arial"/>
                <w:sz w:val="18"/>
                <w:szCs w:val="18"/>
                <w:b w:val="1"/>
                <w:bCs w:val="1"/>
                <w:color w:val="auto"/>
              </w:rPr>
              <w:t>Manufacturing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ind w:left="620"/>
              <w:spacing w:after="0"/>
              <w:rPr>
                <w:sz w:val="20"/>
                <w:szCs w:val="20"/>
                <w:color w:val="auto"/>
              </w:rPr>
            </w:pPr>
            <w:r>
              <w:rPr>
                <w:rFonts w:ascii="Arial" w:cs="Arial" w:eastAsia="Arial" w:hAnsi="Arial"/>
                <w:sz w:val="18"/>
                <w:szCs w:val="18"/>
                <w:b w:val="1"/>
                <w:bCs w:val="1"/>
                <w:color w:val="auto"/>
                <w:w w:val="99"/>
              </w:rPr>
              <w:t>Service and Distribution</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b w:val="1"/>
                <w:bCs w:val="1"/>
                <w:color w:val="auto"/>
              </w:rPr>
              <w:t>Offices</w:t>
            </w:r>
          </w:p>
        </w:tc>
        <w:tc>
          <w:tcPr>
            <w:tcW w:w="1120" w:type="dxa"/>
            <w:vAlign w:val="bottom"/>
          </w:tcPr>
          <w:p>
            <w:pPr>
              <w:spacing w:after="0"/>
              <w:rPr>
                <w:sz w:val="20"/>
                <w:szCs w:val="20"/>
                <w:color w:val="auto"/>
              </w:rPr>
            </w:pPr>
          </w:p>
        </w:tc>
      </w:tr>
      <w:tr>
        <w:trPr>
          <w:trHeight w:val="27"/>
        </w:trPr>
        <w:tc>
          <w:tcPr>
            <w:tcW w:w="1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p>
        </w:tc>
        <w:tc>
          <w:tcPr>
            <w:tcW w:w="1100" w:type="dxa"/>
            <w:vAlign w:val="bottom"/>
          </w:tcPr>
          <w:p>
            <w:pPr>
              <w:ind w:left="480"/>
              <w:spacing w:after="0"/>
              <w:rPr>
                <w:sz w:val="20"/>
                <w:szCs w:val="20"/>
                <w:color w:val="auto"/>
              </w:rPr>
            </w:pPr>
            <w:r>
              <w:rPr>
                <w:rFonts w:ascii="Arial" w:cs="Arial" w:eastAsia="Arial" w:hAnsi="Arial"/>
                <w:sz w:val="18"/>
                <w:szCs w:val="18"/>
                <w:b w:val="1"/>
                <w:bCs w:val="1"/>
                <w:color w:val="auto"/>
                <w:w w:val="99"/>
              </w:rPr>
              <w:t>Owned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w w:val="99"/>
              </w:rPr>
              <w:t>Leased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rPr>
              <w:t>Owned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480"/>
              <w:spacing w:after="0"/>
              <w:rPr>
                <w:sz w:val="20"/>
                <w:szCs w:val="20"/>
                <w:color w:val="auto"/>
              </w:rPr>
            </w:pPr>
            <w:r>
              <w:rPr>
                <w:rFonts w:ascii="Arial" w:cs="Arial" w:eastAsia="Arial" w:hAnsi="Arial"/>
                <w:sz w:val="18"/>
                <w:szCs w:val="18"/>
                <w:b w:val="1"/>
                <w:bCs w:val="1"/>
                <w:color w:val="auto"/>
                <w:w w:val="96"/>
              </w:rPr>
              <w:t>Leased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rPr>
              <w:t>Owned</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Leased</w:t>
            </w:r>
          </w:p>
        </w:tc>
      </w:tr>
      <w:tr>
        <w:trPr>
          <w:trHeight w:val="27"/>
        </w:trPr>
        <w:tc>
          <w:tcPr>
            <w:tcW w:w="1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gridSpan w:val="3"/>
          </w:tcPr>
          <w:p>
            <w:pPr>
              <w:jc w:val="right"/>
              <w:ind w:right="12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1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major manufacturing facilities are owned, while smaller factories are typically leased. Our service and distribution locations typically consist of assembly, service, and/or distribution, and may also include product development and administrative functions. Our office locations consist primarily of sales and administration functions, and may also include research and development functions. Our Energy facilities are located throughout the world, and our Water facilities are located primarily in Asia/Pacific and Europe, with the balance primarily in South America. We own our headquarters facility, which is located in Liberty Lake, Washington. Our principal properties are owned and in good condition, and we believe our current facilities are sufficient to support our operations.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2011, we announced projects to restructure our manufacturing operations in order to increase efficiency and lower our cost of manufacturing, including projects to close or consolidate several of our manufacturing facilities. As part of the restructuring in North America, one owned manufacturing facility and one leased distribution facility were vacated during 2012. The manufacturing facility is fully leased to an unrelated third party. Both of these facilities are excluded from the table above because they do not currently contribute to our operations. In addition, three facilities in Europe ceased manufacturing operations during 2012. These three facilities were transferred to the "Offices" category in the table above. These facilities are expected to be sold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An additional manufacturing facility in Europe was vacated in 2012 when the operations and personnel transferred to a new leased manufacturing facility.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vacant facility is expected to be sold, and, because the facility does not contribute to our operations, it has been excluded from the table above.</w:t>
      </w:r>
    </w:p>
    <w:p>
      <w:pPr>
        <w:spacing w:after="0" w:line="2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as defined by Item 103 of Regulation S-K, at December 31, 2012.</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90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is traded on the NASDAQ Global Select Market. The following table reflects the range of high and low common stock sales prices for the four quarters of 2012 and 2011 as reported by the NASDAQ Global Select Market.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4"/>
              </w:rPr>
              <w:t>2011</w:t>
            </w:r>
          </w:p>
        </w:tc>
        <w:tc>
          <w:tcPr>
            <w:tcW w:w="182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0"/>
                <w:szCs w:val="20"/>
                <w:color w:val="auto"/>
              </w:rPr>
            </w:pPr>
          </w:p>
        </w:tc>
        <w:tc>
          <w:tcPr>
            <w:tcW w:w="1920" w:type="dxa"/>
            <w:vAlign w:val="bottom"/>
            <w:gridSpan w:val="2"/>
          </w:tcPr>
          <w:p>
            <w:pPr>
              <w:ind w:left="320"/>
              <w:spacing w:after="0"/>
              <w:rPr>
                <w:sz w:val="20"/>
                <w:szCs w:val="20"/>
                <w:color w:val="auto"/>
              </w:rPr>
            </w:pPr>
            <w:r>
              <w:rPr>
                <w:rFonts w:ascii="Arial" w:cs="Arial" w:eastAsia="Arial" w:hAnsi="Arial"/>
                <w:sz w:val="18"/>
                <w:szCs w:val="18"/>
                <w:b w:val="1"/>
                <w:bCs w:val="1"/>
                <w:color w:val="auto"/>
              </w:rPr>
              <w:t>Low</w:t>
            </w:r>
          </w:p>
        </w:tc>
        <w:tc>
          <w:tcPr>
            <w:tcW w:w="460" w:type="dxa"/>
            <w:vAlign w:val="bottom"/>
          </w:tcPr>
          <w:p>
            <w:pPr>
              <w:spacing w:after="0"/>
              <w:rPr>
                <w:sz w:val="20"/>
                <w:szCs w:val="20"/>
                <w:color w:val="auto"/>
              </w:rPr>
            </w:pPr>
          </w:p>
        </w:tc>
        <w:tc>
          <w:tcPr>
            <w:tcW w:w="1720" w:type="dxa"/>
            <w:vAlign w:val="bottom"/>
          </w:tcPr>
          <w:p>
            <w:pPr>
              <w:jc w:val="right"/>
              <w:ind w:right="93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jc w:val="right"/>
              <w:ind w:right="1070"/>
              <w:spacing w:after="0"/>
              <w:rPr>
                <w:sz w:val="20"/>
                <w:szCs w:val="20"/>
                <w:color w:val="auto"/>
              </w:rPr>
            </w:pPr>
            <w:r>
              <w:rPr>
                <w:rFonts w:ascii="Arial" w:cs="Arial" w:eastAsia="Arial" w:hAnsi="Arial"/>
                <w:sz w:val="18"/>
                <w:szCs w:val="18"/>
                <w:b w:val="1"/>
                <w:bCs w:val="1"/>
                <w:color w:val="auto"/>
              </w:rPr>
              <w:t>Low</w:t>
            </w:r>
          </w:p>
        </w:tc>
      </w:tr>
      <w:tr>
        <w:trPr>
          <w:trHeight w:val="27"/>
        </w:trPr>
        <w:tc>
          <w:tcPr>
            <w:tcW w:w="1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6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55.99</w:t>
            </w: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46.68</w:t>
            </w:r>
          </w:p>
        </w:tc>
      </w:tr>
      <w:tr>
        <w:trPr>
          <w:trHeight w:val="27"/>
        </w:trPr>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6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38.49</w:t>
            </w: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27.52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our peer group of companies used for the year ended December 31, 2012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48985" cy="3275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0" w:right="4560"/>
        <w:spacing w:after="0" w:line="277" w:lineRule="auto"/>
        <w:tabs>
          <w:tab w:leader="none" w:pos="1115"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invested on 12/31/07 in stock or index, including investment of dividends. Fiscal years ending December 31.</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2007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stock prices shown above for our common stock are historical and not necessarily indicative of future price performance.</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we reassess our peer group to identify global companies that are either direct competitors or have similar industry and business operating characteristics. Our 2012 peer group includes the following publicly traded companies: Badger Meter, Inc., Echelon Corporation, ESCO Technologies Inc., National Instruments Corporation, and Roper Industries, Inc. Cooper Industries, Ltd. and Elster Group SE are no longer included in our peer group because they were acquired by other companies in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shares of common stock, based on settlement date, during the quarterly period ended December 31, 2012.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 through October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157,772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157,772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23,131</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November 1 through November 30</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23,131</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 through December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23,131</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157,772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42.73</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157,772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340" w:hanging="332"/>
        <w:spacing w:after="0" w:line="230"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On October 24, 2011, our Board of Directors authorized a twelve-month repurchase program of up to $100 million of our common stock. On September 13, 2012, the Board approved the extension of the expiration date of the stock repurchase program until February 15, 2013, or until the aggregate limit of $100 million of outstanding common stock has been repurchased, whichever occurs first. Repurchases are made in the open market or in privately negotiated transactions, and in accordance with applicable securities laws. No shares were purchased outside of this plan.</w:t>
      </w:r>
    </w:p>
    <w:p>
      <w:pPr>
        <w:spacing w:after="0" w:line="100"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stock from January 1, 2013 through February 15, 2013, when the stock repurchase program expired.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2013, there were 272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selected consolidated financial data below is derived from our consolidated financial statements, which have been audited by an independent registered public accounting firm. These selected consolidated financial and other data represent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2011</w:t>
            </w:r>
            <w:r>
              <w:rPr>
                <w:rFonts w:ascii="Arial" w:cs="Arial" w:eastAsia="Arial" w:hAnsi="Arial"/>
                <w:sz w:val="21"/>
                <w:szCs w:val="21"/>
                <w:b w:val="1"/>
                <w:bCs w:val="1"/>
                <w:color w:val="auto"/>
                <w:vertAlign w:val="superscript"/>
              </w:rPr>
              <w:t>(2)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2009</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2008</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 share data)</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2,178,178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2,434,124</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2,259,271</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1,687,447</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1,909,613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1,463,031</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1,687,666</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1,558,596</w:t>
            </w:r>
          </w:p>
        </w:tc>
        <w:tc>
          <w:tcPr>
            <w:tcW w:w="3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1,147,484</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1,260,586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715,147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746,458</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700,675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539,963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649,027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151,126</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(459,183)</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184,197</w:t>
            </w:r>
          </w:p>
        </w:tc>
        <w:tc>
          <w:tcPr>
            <w:tcW w:w="3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45,027</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109,822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108,275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(510,157)</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104,770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Earnings (loss) per common share - 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2.73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2.60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39,625</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40,612</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40,337</w:t>
            </w:r>
          </w:p>
        </w:tc>
        <w:tc>
          <w:tcPr>
            <w:tcW w:w="3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38,539</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33,096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39,934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40,612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40,947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38,539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34,951</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Sheets Data</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4700" w:type="dxa"/>
            <w:vAlign w:val="bottom"/>
          </w:tcPr>
          <w:p>
            <w:pPr>
              <w:ind w:left="4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353,577</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59"/>
              <w:spacing w:after="0"/>
              <w:rPr>
                <w:sz w:val="20"/>
                <w:szCs w:val="20"/>
                <w:color w:val="auto"/>
              </w:rPr>
            </w:pPr>
            <w:r>
              <w:rPr>
                <w:rFonts w:ascii="Arial" w:cs="Arial" w:eastAsia="Arial" w:hAnsi="Arial"/>
                <w:sz w:val="16"/>
                <w:szCs w:val="16"/>
                <w:color w:val="auto"/>
              </w:rPr>
              <w:t>329,632</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178,483</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282,532</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293,296</w:t>
            </w:r>
          </w:p>
        </w:tc>
        <w:tc>
          <w:tcPr>
            <w:tcW w:w="0" w:type="dxa"/>
            <w:vAlign w:val="bottom"/>
          </w:tcPr>
          <w:p>
            <w:pPr>
              <w:spacing w:after="0"/>
              <w:rPr>
                <w:sz w:val="1"/>
                <w:szCs w:val="1"/>
                <w:color w:val="auto"/>
              </w:rPr>
            </w:pPr>
          </w:p>
        </w:tc>
      </w:tr>
      <w:tr>
        <w:trPr>
          <w:trHeight w:val="61"/>
        </w:trPr>
        <w:tc>
          <w:tcPr>
            <w:tcW w:w="47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2,089,441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2,064,282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2,745,797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2,854,621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2,856,348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417,500</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452,502</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610,941</w:t>
            </w:r>
          </w:p>
        </w:tc>
        <w:tc>
          <w:tcPr>
            <w:tcW w:w="3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781,764</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1,151,767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Itron, Inc.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992,967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906,925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1,428,295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1,400,514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1,058,776</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Financial Data</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205,090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252,358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254,591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140,787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193,146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investing activities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(125,445)</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(78,741)</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(56,274)</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(53,994)</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used in financing activities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(77,528)</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(209,453)</w:t>
            </w:r>
          </w:p>
        </w:tc>
        <w:tc>
          <w:tcPr>
            <w:tcW w:w="3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(148,637)</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(114,121)</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(63,376)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(50,543)</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(60,076)</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(62,822)</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(52,906)</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(63,430)</w:t>
            </w:r>
          </w:p>
        </w:tc>
        <w:tc>
          <w:tcPr>
            <w:tcW w:w="0" w:type="dxa"/>
            <w:vAlign w:val="bottom"/>
          </w:tcPr>
          <w:p>
            <w:pPr>
              <w:spacing w:after="0"/>
              <w:rPr>
                <w:sz w:val="1"/>
                <w:szCs w:val="1"/>
                <w:color w:val="auto"/>
              </w:rPr>
            </w:pPr>
          </w:p>
        </w:tc>
      </w:tr>
      <w:tr>
        <w:trPr>
          <w:trHeight w:val="33"/>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Working capital represents current assets less current liabilities.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During 2011, we incurred a goodwill impairment charge of $584.8 million. In addition, restructuring projects were approved and commenced to increase efficiency and lower our cost of manufacturing, for which we incurred costs of $68.1 million in 2011.</w:t>
      </w:r>
    </w:p>
    <w:p>
      <w:pPr>
        <w:spacing w:after="0" w:line="180"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On May 1, 2012, we completed our acquisition of SmartSynch, Inc. for $77.7 million in cash (net of $6.7 million of cash and cash equivalents acquired).</w:t>
      </w:r>
    </w:p>
    <w:p>
      <w:pPr>
        <w:spacing w:after="0" w:line="228"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global reorganization announced in the first quarter of 2011, we now manage and report under two operating segments, Energy and Water. The transition to the new organizational structure, including changes to operations, as well as financial and operational management systems, was completed in the first quarter of 2012. Our historical segment information for the years ended December 31, 2011 and 2010 has been recast to reflect our new operating segments.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Energy operating segment includes our global electricity and gas products, while the Water operating segment includes our global water and heat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2012, we completed our acquisition of SmartSynch, Inc. (SmartSynch). SmartSynch provides smart grid solutions that utilize cellular networks for communications. The acquisition strengthens our cellular communications offerings, and we believe the acquisition brings greater choice to utility customers across the spectrum of smart metering deployments. For further details regarding the acquisition of SmartSynch, refer to Item 8: "Financial Statements and Supplementary Data, Note 17: Business Combinations."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other income (expense), and income tax provision (benefit) are not allocated to the segments, nor included in the measure of segment profit or loss.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decreased 11% in 2012, compared with 2011. The revenue decrease was due primarily to the completion of several large OpenWay® projects in the Energy segment, partially offset by a 1% increase in revenues in the Water segment. Revenues increased 8% in 2011, compared with 2010. The 2011 revenue growth was driven by our Energy operating segment with an increase of $111.1 million, or 6%, in revenues in 2011, compared with 2010, while our Water operating segment increased $63.8 million, or 14%, from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backlog was $1.0 billion and twelve-month backlog was $568 million at December 31, 2012.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company gross margin increased 210 basis points in 2012, compared with 2011. Gross margin improvement over the prior year was driven by lower warranty costs in both the Energy and Water segments. Additionally, benefits from our restructuring actions and manufacturing efficiencies offset the impact of decreased volumes. Total company gross margin decreased 30 basis points in 2011, compared with 2010, primarily due to increased warranty charges in the Energy and Water operating segments.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restructuring projects continue as planned, and we expect to substantially complete these projects by the end of 2013, although we expect the disposition of certain manufacturing sites may require additional time beyond that date. Since the announcement of these projects in October 2011, we have incurred $69.8 million in costs, representing approximately 90% of the total expected costs. Total expected costs decreased by $7.7 million from December 31, 2011 to December 31, 2012, primarily as the result of gains on the dispositions of fixed assets and a correction to the amount of goodwill allocated to one of our non-core businesses sold as part of the restructuring process. In addition, expected severance costs were reduced as the result of certain employees, in positions that were eliminated under the restructuring project, filling vacant positions within the Company. Net restructuring expense of $1.7 million was recognized in 2012, primarily related to severance and environmental cleanup costs for sites expected to be sold, offset by the $5.4 million correction to the goodwill impairment. Restructuring expenses of $68.1 million were recognized in 2011, associated with severance accruals, the impairment of long-lived assets that will be sold, and other facility exit costs. For further details regarding the correction of the goodwill impairment, refer to Item 8: "Financial Statements and Supplementary Data, Note 5: Goodwill." We have begun to realize benefits from our restructuring projects during 2012, and we expect full realization of the cost savings by the end of 2013 and into 2014. Revenues and net operating income from the activities we have exited or will exit under the restructuring plan are not material to our operating segments or consolidated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580" w:type="dxa"/>
            <w:vAlign w:val="bottom"/>
          </w:tcPr>
          <w:p>
            <w:pPr>
              <w:ind w:left="42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 Change</w:t>
            </w:r>
          </w:p>
        </w:tc>
        <w:tc>
          <w:tcPr>
            <w:tcW w:w="220" w:type="dxa"/>
            <w:vAlign w:val="bottom"/>
          </w:tcPr>
          <w:p>
            <w:pPr>
              <w:spacing w:after="0"/>
              <w:rPr>
                <w:sz w:val="20"/>
                <w:szCs w:val="20"/>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2010</w:t>
            </w:r>
          </w:p>
        </w:tc>
      </w:tr>
      <w:tr>
        <w:trPr>
          <w:trHeight w:val="33"/>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(in thousands)</w:t>
            </w:r>
          </w:p>
        </w:tc>
      </w:tr>
      <w:tr>
        <w:trPr>
          <w:trHeight w:val="33"/>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2,178,178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2,434,124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2,259,271</w:t>
            </w: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715,147</w:t>
            </w:r>
          </w:p>
        </w:tc>
        <w:tc>
          <w:tcPr>
            <w:tcW w:w="100" w:type="dxa"/>
            <w:vAlign w:val="bottom"/>
          </w:tcPr>
          <w:p>
            <w:pPr>
              <w:spacing w:after="0"/>
              <w:rPr>
                <w:sz w:val="20"/>
                <w:szCs w:val="20"/>
                <w:color w:val="auto"/>
              </w:rPr>
            </w:pPr>
          </w:p>
        </w:tc>
        <w:tc>
          <w:tcPr>
            <w:tcW w:w="1580" w:type="dxa"/>
            <w:vAlign w:val="bottom"/>
          </w:tcPr>
          <w:p>
            <w:pPr>
              <w:jc w:val="right"/>
              <w:ind w:right="539"/>
              <w:spacing w:after="0"/>
              <w:rPr>
                <w:sz w:val="20"/>
                <w:szCs w:val="20"/>
                <w:color w:val="auto"/>
              </w:rPr>
            </w:pPr>
            <w:r>
              <w:rPr>
                <w:rFonts w:ascii="Arial" w:cs="Arial" w:eastAsia="Arial" w:hAnsi="Arial"/>
                <w:sz w:val="16"/>
                <w:szCs w:val="16"/>
                <w:color w:val="auto"/>
              </w:rPr>
              <w:t>(4)%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746,458</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6"/>
              </w:rPr>
              <w:t>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700,675</w:t>
            </w:r>
          </w:p>
        </w:tc>
      </w:tr>
      <w:tr>
        <w:trPr>
          <w:trHeight w:val="33"/>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33"/>
        </w:trPr>
        <w:tc>
          <w:tcPr>
            <w:tcW w:w="2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Year Ended December 31,</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38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2010</w:t>
            </w:r>
          </w:p>
        </w:tc>
      </w:tr>
      <w:tr>
        <w:trPr>
          <w:trHeight w:val="33"/>
        </w:trPr>
        <w:tc>
          <w:tcPr>
            <w:tcW w:w="3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3"/>
        </w:trPr>
        <w:tc>
          <w:tcPr>
            <w:tcW w:w="3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7"/>
              </w:rPr>
              <w:t>1,014,739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1,182,775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1,168,523</w:t>
            </w:r>
          </w:p>
        </w:tc>
      </w:tr>
      <w:tr>
        <w:trPr>
          <w:trHeight w:val="237"/>
        </w:trPr>
        <w:tc>
          <w:tcPr>
            <w:tcW w:w="386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10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878,615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899,642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803,154</w:t>
            </w:r>
          </w:p>
        </w:tc>
      </w:tr>
      <w:tr>
        <w:trPr>
          <w:trHeight w:val="33"/>
        </w:trPr>
        <w:tc>
          <w:tcPr>
            <w:tcW w:w="3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284,824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351,707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287,594</w:t>
            </w:r>
          </w:p>
        </w:tc>
      </w:tr>
      <w:tr>
        <w:trPr>
          <w:trHeight w:val="244"/>
        </w:trPr>
        <w:tc>
          <w:tcPr>
            <w:tcW w:w="38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7"/>
              </w:rPr>
              <w:t>2,178,178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2,434,124</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2,259,271</w:t>
            </w:r>
          </w:p>
        </w:tc>
      </w:tr>
      <w:tr>
        <w:trPr>
          <w:trHeight w:val="20"/>
        </w:trPr>
        <w:tc>
          <w:tcPr>
            <w:tcW w:w="3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Revenues decreased 11%, or $255.9 million, in 2012, compared with 2011. Revenues in 2012 were lower, primarily driven by the substantial completion of four of our five largest OpenWay projects in the Energy segment and by $92.2 million in the unfavorable net translation impact of operations denominated in foreign currencies, partially offset by an increase in Water revenues during the year. Revenues increased 8%, or $174.9 million, in 2011, compared with 2010. The net translation effect of our operations denominated in foreign currencies accounted for $60.6 million of the increase in revenues for the year ended December 31, 2011, compared with 2010. A more detailed analysis of these fluctuations is provided in </w:t>
      </w:r>
      <w:r>
        <w:rPr>
          <w:rFonts w:ascii="Arial" w:cs="Arial" w:eastAsia="Arial" w:hAnsi="Arial"/>
          <w:sz w:val="16"/>
          <w:szCs w:val="16"/>
          <w:i w:val="1"/>
          <w:iCs w:val="1"/>
          <w:color w:val="auto"/>
        </w:rPr>
        <w:t>Operating Segment Results.</w:t>
      </w:r>
    </w:p>
    <w:p>
      <w:pPr>
        <w:spacing w:after="0" w:line="1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 single customer represented more than 10% of total revenues for the years ended December 31, 2012 and 2011. For the year ended December 31, 2010, one customer within our Energy operating segment, Southern California Edison, represented 11% of total revenues. Our 10 largest customers accounted for 27%, 33%, and 34% of total revenues in 2012, 2011, and 2010.</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Gross margin was 32.8% for 2012, compared with 30.7% in 2011. The improvement was primarily the result of lower warranty costs in 2012 in both the Energy and Water segments, which positively impacted gross margin by 170 basis points. Benefits from our restructuring projects and manufacturing efficiencies offset the impact of decreased volumes. Gross margin decreased by 30 basis points in 2011 when compared with 2010, primarily due to warranty charges incurred in the Energy and Water operating segments. A more detailed analysis of these fluctuations is provided in </w:t>
      </w:r>
      <w:r>
        <w:rPr>
          <w:rFonts w:ascii="Arial" w:cs="Arial" w:eastAsia="Arial" w:hAnsi="Arial"/>
          <w:sz w:val="16"/>
          <w:szCs w:val="16"/>
          <w:i w:val="1"/>
          <w:iCs w:val="1"/>
          <w:color w:val="auto"/>
        </w:rPr>
        <w:t>Operating Segment Results.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Smart metering – two-way communication including remote meter configuration and upgrade (consisting primarily of our OpenWay technology)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advanced and smart meter communication modules can be sold separately from the meter. A summary of our meter and communication module shipments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2860" w:type="dxa"/>
            <w:vAlign w:val="bottom"/>
            <w:gridSpan w:val="5"/>
          </w:tcPr>
          <w:p>
            <w:pPr>
              <w:jc w:val="center"/>
              <w:ind w:left="779"/>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2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2010</w:t>
            </w:r>
          </w:p>
        </w:tc>
      </w:tr>
      <w:tr>
        <w:trPr>
          <w:trHeight w:val="33"/>
        </w:trPr>
        <w:tc>
          <w:tcPr>
            <w:tcW w:w="4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8"/>
              </w:rPr>
              <w:t>(units in thousands)</w:t>
            </w:r>
          </w:p>
        </w:tc>
        <w:tc>
          <w:tcPr>
            <w:tcW w:w="840" w:type="dxa"/>
            <w:vAlign w:val="bottom"/>
          </w:tcPr>
          <w:p>
            <w:pPr>
              <w:spacing w:after="0"/>
              <w:rPr>
                <w:sz w:val="18"/>
                <w:szCs w:val="18"/>
                <w:color w:val="auto"/>
              </w:rPr>
            </w:pPr>
          </w:p>
        </w:tc>
      </w:tr>
      <w:tr>
        <w:trPr>
          <w:trHeight w:val="270"/>
        </w:trPr>
        <w:tc>
          <w:tcPr>
            <w:tcW w:w="4200" w:type="dxa"/>
            <w:vAlign w:val="bottom"/>
          </w:tcPr>
          <w:p>
            <w:pPr>
              <w:ind w:left="40"/>
              <w:spacing w:after="0"/>
              <w:rPr>
                <w:sz w:val="20"/>
                <w:szCs w:val="20"/>
                <w:color w:val="auto"/>
              </w:rPr>
            </w:pPr>
            <w:r>
              <w:rPr>
                <w:rFonts w:ascii="Arial" w:cs="Arial" w:eastAsia="Arial" w:hAnsi="Arial"/>
                <w:sz w:val="16"/>
                <w:szCs w:val="16"/>
                <w:color w:val="auto"/>
              </w:rPr>
              <w:t>Meters</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4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17,920</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20,010</w:t>
            </w:r>
          </w:p>
        </w:tc>
      </w:tr>
      <w:tr>
        <w:trPr>
          <w:trHeight w:val="237"/>
        </w:trPr>
        <w:tc>
          <w:tcPr>
            <w:tcW w:w="4200" w:type="dxa"/>
            <w:vAlign w:val="bottom"/>
          </w:tcPr>
          <w:p>
            <w:pPr>
              <w:ind w:left="380"/>
              <w:spacing w:after="0"/>
              <w:rPr>
                <w:sz w:val="20"/>
                <w:szCs w:val="20"/>
                <w:color w:val="auto"/>
              </w:rPr>
            </w:pPr>
            <w:r>
              <w:rPr>
                <w:rFonts w:ascii="Arial" w:cs="Arial" w:eastAsia="Arial" w:hAnsi="Arial"/>
                <w:sz w:val="16"/>
                <w:szCs w:val="16"/>
                <w:color w:val="auto"/>
              </w:rPr>
              <w:t>Advanced and smart</w:t>
            </w:r>
          </w:p>
        </w:tc>
        <w:tc>
          <w:tcPr>
            <w:tcW w:w="1160" w:type="dxa"/>
            <w:vAlign w:val="bottom"/>
          </w:tcPr>
          <w:p>
            <w:pPr>
              <w:jc w:val="right"/>
              <w:spacing w:after="0"/>
              <w:rPr>
                <w:sz w:val="20"/>
                <w:szCs w:val="20"/>
                <w:color w:val="auto"/>
              </w:rPr>
            </w:pPr>
            <w:r>
              <w:rPr>
                <w:rFonts w:ascii="Arial" w:cs="Arial" w:eastAsia="Arial" w:hAnsi="Arial"/>
                <w:sz w:val="16"/>
                <w:szCs w:val="16"/>
                <w:color w:val="auto"/>
              </w:rPr>
              <w:t>8,030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9,320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8,440</w:t>
            </w:r>
          </w:p>
        </w:tc>
      </w:tr>
      <w:tr>
        <w:trPr>
          <w:trHeight w:val="33"/>
        </w:trPr>
        <w:tc>
          <w:tcPr>
            <w:tcW w:w="4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28,890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50"/>
        </w:trPr>
        <w:tc>
          <w:tcPr>
            <w:tcW w:w="4200" w:type="dxa"/>
            <w:vAlign w:val="bottom"/>
          </w:tcPr>
          <w:p>
            <w:pPr>
              <w:ind w:left="720"/>
              <w:spacing w:after="0"/>
              <w:rPr>
                <w:sz w:val="20"/>
                <w:szCs w:val="20"/>
                <w:color w:val="auto"/>
              </w:rPr>
            </w:pPr>
            <w:r>
              <w:rPr>
                <w:rFonts w:ascii="Arial" w:cs="Arial" w:eastAsia="Arial" w:hAnsi="Arial"/>
                <w:sz w:val="16"/>
                <w:szCs w:val="16"/>
                <w:color w:val="auto"/>
              </w:rPr>
              <w:t>Advanced and smart</w:t>
            </w:r>
          </w:p>
        </w:tc>
        <w:tc>
          <w:tcPr>
            <w:tcW w:w="1160" w:type="dxa"/>
            <w:vAlign w:val="bottom"/>
          </w:tcPr>
          <w:p>
            <w:pPr>
              <w:jc w:val="right"/>
              <w:spacing w:after="0"/>
              <w:rPr>
                <w:sz w:val="20"/>
                <w:szCs w:val="20"/>
                <w:color w:val="auto"/>
              </w:rPr>
            </w:pPr>
            <w:r>
              <w:rPr>
                <w:rFonts w:ascii="Arial" w:cs="Arial" w:eastAsia="Arial" w:hAnsi="Arial"/>
                <w:sz w:val="16"/>
                <w:szCs w:val="16"/>
                <w:color w:val="auto"/>
              </w:rPr>
              <w:t>6,460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6,330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5,960</w:t>
            </w:r>
          </w:p>
        </w:tc>
      </w:tr>
      <w:tr>
        <w:trPr>
          <w:trHeight w:val="20"/>
        </w:trPr>
        <w:tc>
          <w:tcPr>
            <w:tcW w:w="4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operating segments, refer to Item 8: “Financial Statements and Supplementary Data, Note 16: Segment Information” in this Annual Report on Form 10-K. The following tables and discussion highlight significant changes in trends or components of each operating segment.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80" w:type="dxa"/>
            <w:vAlign w:val="bottom"/>
          </w:tcPr>
          <w:p>
            <w:pPr>
              <w:spacing w:after="0"/>
              <w:rPr>
                <w:sz w:val="21"/>
                <w:szCs w:val="21"/>
                <w:color w:val="auto"/>
              </w:rPr>
            </w:pPr>
          </w:p>
        </w:tc>
        <w:tc>
          <w:tcPr>
            <w:tcW w:w="15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20" w:type="dxa"/>
            <w:vAlign w:val="bottom"/>
          </w:tcPr>
          <w:p>
            <w:pPr>
              <w:ind w:left="380"/>
              <w:spacing w:after="0"/>
              <w:rPr>
                <w:sz w:val="20"/>
                <w:szCs w:val="20"/>
                <w:color w:val="auto"/>
              </w:rPr>
            </w:pPr>
            <w:r>
              <w:rPr>
                <w:rFonts w:ascii="Arial" w:cs="Arial" w:eastAsia="Arial" w:hAnsi="Arial"/>
                <w:sz w:val="14"/>
                <w:szCs w:val="14"/>
                <w:color w:val="auto"/>
              </w:rPr>
              <w:t>Energy</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Electricity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1,024,340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(17)%</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1,239,428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8"/>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1,185,892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Gas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627,193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672,999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center"/>
              <w:ind w:right="108"/>
              <w:spacing w:after="0"/>
              <w:rPr>
                <w:sz w:val="20"/>
                <w:szCs w:val="20"/>
                <w:color w:val="auto"/>
              </w:rPr>
            </w:pPr>
            <w:r>
              <w:rPr>
                <w:rFonts w:ascii="Arial" w:cs="Arial" w:eastAsia="Arial" w:hAnsi="Arial"/>
                <w:sz w:val="14"/>
                <w:szCs w:val="14"/>
                <w:color w:val="auto"/>
                <w:w w:val="98"/>
              </w:rPr>
              <w:t>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615,450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Energy</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1,651,533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1,912,427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8"/>
              </w:rPr>
              <w:t>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1,801,342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Water</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526,645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8"/>
              </w:rPr>
              <w:t>1%</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521,697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center"/>
              <w:ind w:right="108"/>
              <w:spacing w:after="0"/>
              <w:rPr>
                <w:sz w:val="20"/>
                <w:szCs w:val="20"/>
                <w:color w:val="auto"/>
              </w:rPr>
            </w:pPr>
            <w:r>
              <w:rPr>
                <w:rFonts w:ascii="Arial" w:cs="Arial" w:eastAsia="Arial" w:hAnsi="Arial"/>
                <w:sz w:val="14"/>
                <w:szCs w:val="14"/>
                <w:color w:val="auto"/>
                <w:w w:val="99"/>
              </w:rPr>
              <w:t>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457,929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2,178,178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2,434,124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8"/>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2,259,271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0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b w:val="1"/>
                <w:bCs w:val="1"/>
                <w:i w:val="1"/>
                <w:iCs w:val="1"/>
                <w:color w:val="auto"/>
                <w:w w:val="88"/>
              </w:rPr>
              <w:t>Gross Profit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w w:val="90"/>
              </w:rPr>
              <w:t>Gross Margin</w:t>
            </w:r>
          </w:p>
        </w:tc>
        <w:tc>
          <w:tcPr>
            <w:tcW w:w="1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b w:val="1"/>
                <w:bCs w:val="1"/>
                <w:i w:val="1"/>
                <w:iCs w:val="1"/>
                <w:color w:val="auto"/>
                <w:w w:val="88"/>
              </w:rPr>
              <w:t>Gross Profit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b w:val="1"/>
                <w:bCs w:val="1"/>
                <w:i w:val="1"/>
                <w:iCs w:val="1"/>
                <w:color w:val="auto"/>
                <w:w w:val="93"/>
              </w:rPr>
              <w:t>Gross Margin</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b w:val="1"/>
                <w:bCs w:val="1"/>
                <w:i w:val="1"/>
                <w:iCs w:val="1"/>
                <w:color w:val="auto"/>
                <w:w w:val="88"/>
              </w:rPr>
              <w:t>Gross Profit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center"/>
              <w:ind w:right="128"/>
              <w:spacing w:after="0"/>
              <w:rPr>
                <w:sz w:val="20"/>
                <w:szCs w:val="20"/>
                <w:color w:val="auto"/>
              </w:rPr>
            </w:pPr>
            <w:r>
              <w:rPr>
                <w:rFonts w:ascii="Arial" w:cs="Arial" w:eastAsia="Arial" w:hAnsi="Arial"/>
                <w:sz w:val="14"/>
                <w:szCs w:val="14"/>
                <w:b w:val="1"/>
                <w:bCs w:val="1"/>
                <w:i w:val="1"/>
                <w:iCs w:val="1"/>
                <w:color w:val="auto"/>
                <w:w w:val="90"/>
              </w:rPr>
              <w:t>Gross Margin</w:t>
            </w:r>
          </w:p>
        </w:tc>
        <w:tc>
          <w:tcPr>
            <w:tcW w:w="0" w:type="dxa"/>
            <w:vAlign w:val="bottom"/>
          </w:tcPr>
          <w:p>
            <w:pPr>
              <w:spacing w:after="0"/>
              <w:rPr>
                <w:sz w:val="1"/>
                <w:szCs w:val="1"/>
                <w:color w:val="auto"/>
              </w:rPr>
            </w:pPr>
          </w:p>
        </w:tc>
      </w:tr>
      <w:tr>
        <w:trPr>
          <w:trHeight w:val="250"/>
        </w:trPr>
        <w:tc>
          <w:tcPr>
            <w:tcW w:w="2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Gross Profit and Margin</w:t>
            </w:r>
          </w:p>
        </w:tc>
        <w:tc>
          <w:tcPr>
            <w:tcW w:w="180" w:type="dxa"/>
            <w:vAlign w:val="bottom"/>
          </w:tcPr>
          <w:p>
            <w:pPr>
              <w:spacing w:after="0"/>
              <w:rPr>
                <w:sz w:val="21"/>
                <w:szCs w:val="21"/>
                <w:color w:val="auto"/>
              </w:rPr>
            </w:pPr>
          </w:p>
        </w:tc>
        <w:tc>
          <w:tcPr>
            <w:tcW w:w="15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Energy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530,396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32.1%</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578,575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30.3%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541,900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5"/>
              </w:rPr>
              <w:t>30.1%</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Water</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184,751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35.1%</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167,883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center"/>
              <w:ind w:right="108"/>
              <w:spacing w:after="0"/>
              <w:rPr>
                <w:sz w:val="20"/>
                <w:szCs w:val="20"/>
                <w:color w:val="auto"/>
              </w:rPr>
            </w:pPr>
            <w:r>
              <w:rPr>
                <w:rFonts w:ascii="Arial" w:cs="Arial" w:eastAsia="Arial" w:hAnsi="Arial"/>
                <w:sz w:val="14"/>
                <w:szCs w:val="14"/>
                <w:color w:val="auto"/>
                <w:w w:val="90"/>
              </w:rPr>
              <w:t>32.2%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158,775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center"/>
              <w:ind w:right="128"/>
              <w:spacing w:after="0"/>
              <w:rPr>
                <w:sz w:val="20"/>
                <w:szCs w:val="20"/>
                <w:color w:val="auto"/>
              </w:rPr>
            </w:pPr>
            <w:r>
              <w:rPr>
                <w:rFonts w:ascii="Arial" w:cs="Arial" w:eastAsia="Arial" w:hAnsi="Arial"/>
                <w:sz w:val="14"/>
                <w:szCs w:val="14"/>
                <w:color w:val="auto"/>
                <w:w w:val="95"/>
              </w:rPr>
              <w:t>34.7%</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gross profit and margin</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715,147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32.8%</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746,458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30.7%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700,675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5"/>
              </w:rPr>
              <w:t>31.0%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0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center"/>
              <w:ind w:right="48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center"/>
              <w:ind w:right="4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300" w:type="dxa"/>
            <w:vAlign w:val="bottom"/>
            <w:gridSpan w:val="2"/>
            <w:shd w:val="clear" w:color="auto" w:fill="CCEEFF"/>
          </w:tcPr>
          <w:p>
            <w:pPr>
              <w:jc w:val="center"/>
              <w:ind w:right="30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6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center"/>
              <w:ind w:right="48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180" w:type="dxa"/>
            <w:vAlign w:val="bottom"/>
            <w:shd w:val="clear" w:color="auto" w:fill="CCEEFF"/>
          </w:tcPr>
          <w:p>
            <w:pPr>
              <w:jc w:val="center"/>
              <w:ind w:right="108"/>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b w:val="1"/>
                <w:bCs w:val="1"/>
                <w:i w:val="1"/>
                <w:iCs w:val="1"/>
                <w:color w:val="auto"/>
                <w:w w:val="88"/>
              </w:rPr>
              <w:t>Income (Loss)</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b w:val="1"/>
                <w:bCs w:val="1"/>
                <w:i w:val="1"/>
                <w:iCs w:val="1"/>
                <w:color w:val="auto"/>
                <w:w w:val="90"/>
              </w:rPr>
              <w:t>Income (Loss)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b w:val="1"/>
                <w:bCs w:val="1"/>
                <w:i w:val="1"/>
                <w:iCs w:val="1"/>
                <w:color w:val="auto"/>
                <w:w w:val="90"/>
              </w:rPr>
              <w:t>Income (Loss)</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28"/>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37"/>
        </w:trPr>
        <w:tc>
          <w:tcPr>
            <w:tcW w:w="2620" w:type="dxa"/>
            <w:vAlign w:val="bottom"/>
          </w:tcPr>
          <w:p>
            <w:pPr>
              <w:ind w:left="40"/>
              <w:spacing w:after="0" w:line="137" w:lineRule="exact"/>
              <w:rPr>
                <w:sz w:val="20"/>
                <w:szCs w:val="20"/>
                <w:color w:val="auto"/>
              </w:rPr>
            </w:pPr>
            <w:r>
              <w:rPr>
                <w:rFonts w:ascii="Arial" w:cs="Arial" w:eastAsia="Arial" w:hAnsi="Arial"/>
                <w:sz w:val="14"/>
                <w:szCs w:val="14"/>
                <w:b w:val="1"/>
                <w:bCs w:val="1"/>
                <w:i w:val="1"/>
                <w:iCs w:val="1"/>
                <w:color w:val="auto"/>
              </w:rPr>
              <w:t>Segment Operating Income (Loss)</w:t>
            </w:r>
          </w:p>
        </w:tc>
        <w:tc>
          <w:tcPr>
            <w:tcW w:w="180" w:type="dxa"/>
            <w:vAlign w:val="bottom"/>
          </w:tcPr>
          <w:p>
            <w:pPr>
              <w:spacing w:after="0"/>
              <w:rPr>
                <w:sz w:val="11"/>
                <w:szCs w:val="11"/>
                <w:color w:val="auto"/>
              </w:rPr>
            </w:pPr>
          </w:p>
        </w:tc>
        <w:tc>
          <w:tcPr>
            <w:tcW w:w="15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and Operating Margin</w:t>
            </w:r>
          </w:p>
        </w:tc>
        <w:tc>
          <w:tcPr>
            <w:tcW w:w="18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Energy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135,369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4"/>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184,163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Water</w:t>
            </w:r>
          </w:p>
        </w:tc>
        <w:tc>
          <w:tcPr>
            <w:tcW w:w="1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59,210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(303,772)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6"/>
              </w:rPr>
              <w:t>(58)%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43,611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Corporate unallocated</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(43,453)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720"/>
              <w:spacing w:after="0"/>
              <w:rPr>
                <w:sz w:val="20"/>
                <w:szCs w:val="20"/>
                <w:color w:val="auto"/>
              </w:rPr>
            </w:pPr>
            <w:r>
              <w:rPr>
                <w:rFonts w:ascii="Arial" w:cs="Arial" w:eastAsia="Arial" w:hAnsi="Arial"/>
                <w:sz w:val="14"/>
                <w:szCs w:val="14"/>
                <w:color w:val="auto"/>
              </w:rPr>
              <w:t>Total Company</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151,126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(459,183)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6"/>
              </w:rPr>
              <w:t>(19)%</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184,197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- 2012 vs. 2011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Electricity revenues for 2012 decreased by $215.1 million, or 17%, compared with 2011 revenues. The decrease was primarily driven by $207.6 million in lower OpenWay project revenue in North America, as four of our five largest OpenWay projects were substantially completed during 2012. This revenue decrease in North America was partially offset by $21.8 million of revenue</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 as a result of the SmartSynch acquisition in May 2012. Lower prepayment meter shipments drove a decrease of $27.3 million in our Asia/Pacific region, which was partially offset by $23.0 million in higher revenue from increased product shipments and service in EMEA. The net translation effect of our operations in foreign currencies negatively impacted 2012 revenues by $34.4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Gas revenues decreased by $45.8 million, or 7%, in 2012, compared to 2011, including $27.7 million for the impact of unfavorable exchange rates for our revenues denominated in foreign currencies. The decrease was driven by lower communication module shipments and lower service revenue, partially offset by increased gas meter shipments, particularly smart meters. The overall decrease is due to typical period-to-period fluctuations in timing of customer projects.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One customer represented 11% of the Energy operating segment revenues in 2012, and a different customer represented 11% of the Energy operating segment revenues in 2011.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- 2011 vs. 2010</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Electricity revenues for 2011 increased by $53.5 million, or 5%, compared with 2010 revenues. Revenues for OpenWay electricity projects increased by $12.6 million, while revenues for prepayment meters in Asia/Pacific and Africa provided the balance of the increase.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Gas revenues increased by $57.5 million, or 9%, in 2011, compared to 2010, driven by increases in smart gas modules in North America and gas meters in Europe and Asia, partially offset by a $26.1 million decrease in OpenWay gas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Two customers individually represented 14% and 10% of the Energy operating segment revenues in 2010.</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- 2012 vs. 2011</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margin was 32.1% in 2012, compared with 30.3% in 2011. The improved margin was primarily driven by $23.8 million in lower warranty expense in 2012, as well as improved manufacturing efficiencies, global procurement, and the realization of the benefits of our restructuring activities.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- 2011 vs. 2010</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30.3% in 2011, compared with 30.1% in 2010. Increased revenues and margins for smart gas communication modules and non-OpenWay services were partially offset by higher warranty charges of $7.4 million in 2011.</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- 2012 vs. 2011</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Energy operating expenses decreased by $296.4 million, or 43%, for 2012 when compared to 2011, primarily due to the goodwill impairment of $254.7 million recognized in 2011for the Electricity reporting unit and $48.9 million in lower restructuring expenses in 2012. Foreign exchange rates also favorably impacted operating expenses by $17.0 million. Sales and marketing and product development expenses increased over prior year by $31.6 million, primarily as the result of the development of new and enhanced products and in preparation for sales opportunities in developing markets. Operating expenses, consisting of sales and marketing, product development, general and administrative, and amortization of intangible assets, as a percentage of revenues, were 24% in 2012 and 20% in 2011.</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- 2011 vs. 2010</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Energy operating expenses in 2011 included a goodwill impairment charge of $254.7 million associated with the Electricity reporting unit. Operating expenses included restructuring expenses of $51.9 million primarily associated with accrued severance and asset impairments. Operating expenses for sales and marketing, product development, general and administrative, and amortization of intangible assets increased $27.1 million, or 8%, in 2011, primarily due to increased product development costs for new and enhanced products. This increase was partially offset by scheduled decreases in amortization of intangible assets and decreased bonus, profit sharing, and employee savings plan match expenses. Operating expenses, consisting of sales and marketing, product development, general and administrative, and amortization of intangible assets, as a percentage of revenues were 20% in 2011 and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- 2012 vs. 2011</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Revenues increased $4.9 million, or 1%, in 2012, while the translation effect of a stronger U.S. dollar against most foreign currencies during 2012 negatively impacted revenues by 6%. All regions provided increases during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Water operating segment's revenues in 2012, 2011, and 2010.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- 2011 vs. 2010</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$63.8 million, or 14%, in 2011, primarily driven by increased meter and smart module shipments in Europe. In addition, the net translation effect of foreign currencies into the U.S. dollar accounted for $15.0 million of the increase in revenues.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- 2012 vs. 2011</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Water gross margin increased to 35.1% in 2012, compared with 32.2% in 2011, primarily driven by $12.4 million in lower warranty expense in 2012 and favorable product mix, which were partially offset by lower margin services for a large project in North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- 2011 vs. 2010</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Water gross margin decreased to 32.2% in 2011, compared with 34.7% in 2010, primarily due to a combination of competitive pricing pressures and higher materials costs, including copper, as well as warranty charges of $12.6 million associated with a vendor supplied component.</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- 2012 vs. 2011</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2012, Water operating expenses were $125.6 million compared to $471.7 million in 2011, including the favorable impact of foreign exchange rates of $7.6 million. Operating expenses in 2011 included a goodwill impairment charge of $330.1 million and $15.9 million in higher restructuring costs. Sales and marketing expenses in 2012 were $6.2 million higher than in 2011 due to investments in preparation for opportunities in developing markets. Product development expenses in 2012 were $4.5 million higher than in 2011 as the result of development of new and enhanced products to meet the demands of various markets. Operating expenses, consisting of sales and marketing, product development, general and administrative, and amortization of intangible assets, as a percentage of revenues, were 24% in 2012 and 2011.</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- 2011 vs. 2010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Water operating expenses in 2011 included a goodwill impairment charge of $330.1 million associated with the Water reporting unit. Operating expenses included restructuring expenses of $15.3 million primarily associated with accrued severance and asset impairments. Operating expenses for sales and marketing, product development, general and administrative, and amortization of intangible assets increased $11.1 million in 2011, compared with 2010. Operating expenses, consisting of sales and marketing, product development, general and administrative, and amortization of intangible assets, as a percentage of revenue were 24% in 2011, compared with 25% in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increased 2% to $43.5 million in 2012, compared with 2011, primarily due to acquisition related expenses for the SmartSynch acquisition, for management training and development costs in connection with the implementation of a new organizational structure, and for preliminary planning costs, prior to application development, for our global enterprise resource planning (ERP) software initiative. These increases were partially offset by lower corporate IT related and marketing spending. Corporate unallocated expenses decreased 2% to $42.6 million in 2011, compared with 2010, primarily due to decreased bonus and profit sharing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Revenues</w:t>
            </w:r>
          </w:p>
        </w:tc>
        <w:tc>
          <w:tcPr>
            <w:tcW w:w="20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Revenues</w:t>
            </w: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Revenues</w:t>
            </w:r>
          </w:p>
        </w:tc>
      </w:tr>
      <w:tr>
        <w:trPr>
          <w:trHeight w:val="33"/>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197,603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185,105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178,653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161,305</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139,166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6%</w:t>
            </w: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138,290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142,908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137,226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47,810</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63,394</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69,051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3%</w:t>
            </w: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68,082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584,847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564,021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1,205,641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516,478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vs. 2011</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expenses decreased $641.6 million in 2012, compared with 2011. The 2011 operating expenses included $584.8 million of goodwill impairment charges associated with the Electricity and Water reporting units, as well as $68.1 million of restructuring expenses, which represented the majority of total expected expenses under our restructuring project initiated in 2011. Operating expenses for sales and marketing, product development, general and administrative, and amortization of intangible assets represented 26% of revenues in 2012, compared with 23% in 2011. Sales and marketing and product development expenses increased in 2012 compared with 2011, primarily due to increased product development costs for new and enhanced products and investments in targeted geographies in anticipation of sales opportunities. The increase was partially offset by favorable foreign currency translation effects and scheduled decreases in amortization of intangible assets.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2011 vs. 2010</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expenses in 2011 included a goodwill impairment of $584.8 million associated with two of our reporting units. Restructuring expenses were $68.1 million primarily associated with accrued severance and asset impairments. Operating expenses, consisting of sales and marketing, product development, general and administrative, and amortization of intangible assets, increased $36.2 million in 2011, compared with 2010, of which $13.1 million represented the net translation effect of foreign currencies to the U.S. dollar. Operating expenses, consisting of sales and marketing, product development, general and administrative, and amortization of intangible assets, as a percentage of revenue were 23% in 2011 and 2010. Higher costs related to product development for new and enhanced products, as well as higher marketing expense associated with the pursuit of smart grid opportunities were partially offset by a scheduled decrease in amortization of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Year Ended December 31,</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center"/>
              <w:ind w:right="219"/>
              <w:spacing w:after="0"/>
              <w:rPr>
                <w:sz w:val="20"/>
                <w:szCs w:val="20"/>
                <w:color w:val="auto"/>
              </w:rPr>
            </w:pPr>
            <w:r>
              <w:rPr>
                <w:rFonts w:ascii="Arial" w:cs="Arial" w:eastAsia="Arial" w:hAnsi="Arial"/>
                <w:sz w:val="16"/>
                <w:szCs w:val="16"/>
                <w:b w:val="1"/>
                <w:bCs w:val="1"/>
                <w:color w:val="auto"/>
                <w:w w:val="84"/>
              </w:rPr>
              <w:t>2011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2010</w:t>
            </w:r>
          </w:p>
        </w:tc>
      </w:tr>
      <w:tr>
        <w:trPr>
          <w:trHeight w:val="3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(31,079)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(49,412)</w:t>
            </w:r>
          </w:p>
        </w:tc>
      </w:tr>
      <w:tr>
        <w:trPr>
          <w:trHeight w:val="3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(5,492)</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(6,651)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(5,440)</w:t>
            </w:r>
          </w:p>
        </w:tc>
      </w:tr>
      <w:tr>
        <w:trPr>
          <w:trHeight w:val="33"/>
        </w:trPr>
        <w:tc>
          <w:tcPr>
            <w:tcW w:w="35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(59,752)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Interest rates have continued to remain low.</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declined each period as a result of our principal balance of debt outstanding, as well as lower interest rates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2011. Total debt was $417.5 million, $452.5 million, and $610.9 million at December 31, 2012, 2011, and 2010, respectively. In August 2011, we refinanced our credit facility. The interest rate on our 2011 credit facility was 1.47% at December 31, 2012. The weighted average interest rate on the borrowings under our 2007 credit facility at the time of refinancing (August 2011) was 4.75% (including the effect of an interest rate swap).</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Amortization of prepaid debt fees</w:t>
      </w:r>
      <w:r>
        <w:rPr>
          <w:rFonts w:ascii="Arial" w:cs="Arial" w:eastAsia="Arial" w:hAnsi="Arial"/>
          <w:sz w:val="17"/>
          <w:szCs w:val="17"/>
          <w:color w:val="auto"/>
        </w:rPr>
        <w:t>: Amortization of prepaid debt fees in 2012 was lower than in 2011 by $4.1 million, primarily driven by the write-off of $2.4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prepaid debt fees in 2011 upon the refinancing of the 2007 credit facility. In addition, we incurred lower prepaid debt fees with the 2011 credit facility. Amortization of prepaid debt fees in 2011 was higher than 2010 due to the $2.4 million write-off of unamortized prepaid debt fees associated with our 2007 credit facility that was replaced with the 2011 credit facility. Amortization of prepaid debt fees fluctuate each year as debt is repaid early. As debt is repaid early, the related portion of unamortized prepaid debt fees is written-off. Refer to Item 8: “Financial Statements and Supplementary Data, Note 6: Debt” in this Annual Report on Form 10-K for additional details related to our long-term borrowings.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consist primarily of unrealized and realized foreign currency gains and losses due to balances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 currency other than the reporting entity's functional currency. Foreign currency losses, net of hedging, were $3.8 million in 2012, compared with net foreign currency losses of $4.7 million in 2011 and $3.1 million in 2010.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5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205,090</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252,358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254,591</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(125,445)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(78,741)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(56,274)</w:t>
            </w:r>
          </w:p>
        </w:tc>
      </w:tr>
      <w:tr>
        <w:trPr>
          <w:trHeight w:val="33"/>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(77,528)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(148,637)</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(2,096)</w:t>
            </w:r>
          </w:p>
        </w:tc>
      </w:tr>
      <w:tr>
        <w:trPr>
          <w:trHeight w:val="33"/>
        </w:trPr>
        <w:tc>
          <w:tcPr>
            <w:tcW w:w="5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47,584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at December 31, 2012 was comparable to the prior year due to several offsetting factors, including lower net repayments on debt in 2012, compared with 2011, partially offset by increases in business acquisitions and repurchases of common stock and a decrease in cash provided by operating activities in 2012. Cash and cash equivalents was $133.1 million at December 31, 2011, compared with $169.5 million at December 31, 2010. The decrease in the cash and cash equivalents balance during 2011 was primarily the result of repayments of debt, the repurchase of common stock, and minor business acquisitions in 2011.</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provided by operating activities in 2012 was $47.3 million lower compared with 2011. This decline was primarily due to: (1) a decline in operating income, exclusive of non-cash items, such as goodwill impairment, depreciation and amortization, and non-cash restructuring expense, and (2) the net increase in working capital balances of $23.9 million in 2012, compared with a net decrease in working capital balances of $4.7 million in 2011. Cash provided by operating activities in 2011, inclusive of the impact of $12.8 million in cash payments made related to restructuring projects in 2011, was relatively constant when compared with 2010.</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investing activities in 2012 was $46.7 million higher compared with 2011. The increase in investing activities during 2012 was the result of business acquisitions of $79.0 million, primarily related to the SmartSynch acquisition, as compared with business acquisitions of $20.1 million in 2011. The increase in cash used in business acquisitions in 2012 was partially offset by a decrease in acquisitions of property, plant, and equipment to $50.5 million in 2012, compared with $60.1 million in 2011. Refer to Item 8: "Financial Statements and Supplementary Data, Note 17: Business Combinations" for additional information regarding the acquisition of SmartSynch.</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in 2011 was $22.5 million higher compared with 2010. Several business acquisitions totaling $20.1 million contributed to the increase in 2011, while property, plant, and equipment acquisitions in 2011 were comparable with 2010.</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financing activities in 2012 was $131.9 million lower compared with 2011. During 2012, net repayments on borrowings were $35.0 million, compared with $178.1 million in 2011. On October 24, 2011, our Board of Directors authorized a twelve-month repurchase program of up to $100 million of our common stock, which, on September 13, 2012, was extended until February 15, 2013. During 2012, we repurchased $47.4 million of our common stock, compared with $29.4 million in 2011. We did not repurchase any stock from January 1, 2013 through February 15, 2013, when the stock repurchase program expired.</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in 2011 was $60.8 million higher compared with 2010. During 2011, net repayments on borrowings were $178.1 million compared with $155.2 million in 2010. During 2011, we repurchased $29.4 million of our common stock, with no repurchases occurring in 2010. Refer to Item 8: “Financial Statements and Supplementary Data, Note 14: Shareholders' Equity” in this Annual Report on Form 10-K for additional details related to our share repurchase program.</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Changes in exchange rates on the cash balances of currencies held in foreign denominations resulted in an increase of $1.2 million and decreases of $555,000 and $2.1 million in 2012, 2011, and 2010, respectively. Our primary foreign currency exposure relates to non-U.S. dollar denominated transactions in our international subsidiary operations, the most significant of which is the euro.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December 31, 2012 and December 31, 2011 that we believe are reasonably likely to have a current or future effect on our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about contractual obligations and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2012, as well as an estimate of the timing in which these obligations are expected to be satisfied.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10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Beyond</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5 years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3"/>
        </w:trPr>
        <w:tc>
          <w:tcPr>
            <w:tcW w:w="47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292,421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148,889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141,900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64,497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2,968</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Purchase and service commitments</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184,826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180,515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 reflected on the balance sheet under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700" w:type="dxa"/>
            <w:vAlign w:val="bottom"/>
            <w:shd w:val="clear" w:color="auto" w:fill="CCEEFF"/>
          </w:tcPr>
          <w:p>
            <w:pPr>
              <w:ind w:left="120"/>
              <w:spacing w:after="0" w:line="239" w:lineRule="exact"/>
              <w:rPr>
                <w:sz w:val="20"/>
                <w:szCs w:val="20"/>
                <w:color w:val="auto"/>
              </w:rPr>
            </w:pPr>
            <w:r>
              <w:rPr>
                <w:rFonts w:ascii="Arial" w:cs="Arial" w:eastAsia="Arial" w:hAnsi="Arial"/>
                <w:sz w:val="16"/>
                <w:szCs w:val="16"/>
                <w:color w:val="auto"/>
              </w:rPr>
              <w:t>generally accepted accounting principles</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104,252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23,338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30,954</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794,885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222,663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149,584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388,716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33,922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Borrowings are disclosed within Item 8: “Financial Statements and Supplementary Data, Note 6: Debt” included in this Annual Report on Form 10-K, with the addition of estimated interest expense but not including the amortization of prepaid debt fees.</w:t>
      </w:r>
    </w:p>
    <w:p>
      <w:pPr>
        <w:spacing w:after="0" w:line="203" w:lineRule="exact"/>
        <w:rPr>
          <w:rFonts w:ascii="Arial" w:cs="Arial" w:eastAsia="Arial" w:hAnsi="Arial"/>
          <w:sz w:val="25"/>
          <w:szCs w:val="25"/>
          <w:color w:val="auto"/>
          <w:vertAlign w:val="superscript"/>
        </w:rPr>
      </w:pPr>
    </w:p>
    <w:p>
      <w:pPr>
        <w:jc w:val="both"/>
        <w:ind w:left="660" w:right="20" w:hanging="652"/>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Operating lease obligations are disclosed in Item 8: “Financial Statements and Supplementary Data, Note 12: Commitments and Contingencies” included in this Annual Report on Form 10-K and do not include common area maintenance charges, real estate taxes, and insurance charges for which we are obligated.</w:t>
      </w:r>
    </w:p>
    <w:p>
      <w:pPr>
        <w:spacing w:after="0" w:line="203" w:lineRule="exact"/>
        <w:rPr>
          <w:rFonts w:ascii="Arial" w:cs="Arial" w:eastAsia="Arial" w:hAnsi="Arial"/>
          <w:sz w:val="25"/>
          <w:szCs w:val="25"/>
          <w:color w:val="auto"/>
          <w:vertAlign w:val="superscript"/>
        </w:rPr>
      </w:pPr>
    </w:p>
    <w:p>
      <w:pPr>
        <w:jc w:val="both"/>
        <w:ind w:left="660" w:hanging="652"/>
        <w:spacing w:after="0" w:line="268" w:lineRule="auto"/>
        <w:tabs>
          <w:tab w:leader="none" w:pos="6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We enter into standard purchase orders in the ordinary course of business that typically obligate us to purchase materials and other items. Purchase orders can vary in terms, which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2012 if the commitments were canceled.</w:t>
      </w:r>
    </w:p>
    <w:p>
      <w:pPr>
        <w:spacing w:after="0" w:line="181" w:lineRule="exact"/>
        <w:rPr>
          <w:rFonts w:ascii="Arial" w:cs="Arial" w:eastAsia="Arial" w:hAnsi="Arial"/>
          <w:sz w:val="22"/>
          <w:szCs w:val="22"/>
          <w:color w:val="auto"/>
          <w:vertAlign w:val="superscript"/>
        </w:rPr>
      </w:pPr>
    </w:p>
    <w:p>
      <w:pPr>
        <w:jc w:val="both"/>
        <w:ind w:left="660" w:hanging="652"/>
        <w:spacing w:after="0" w:line="274" w:lineRule="auto"/>
        <w:tabs>
          <w:tab w:leader="none" w:pos="6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Other long-term liabilities consist of warranty obligations, estimated pension benefit payments, and other obligations. Estimated pension benefit payments include amounts from 2014-2022. Long-term unrecognized tax benefits totaling $23.9 million (net of pre-payments), which include accrued interest and penalties, are not included in the above contractual obligations and commitments table as we cannot reliably estimate the period of cash settlement with the respective taxing authorities. Additionally, because the amount and timing of the future cash outflows are uncertain, deferred revenue totaling $32.2, which includes deferred revenue related to extended warranty guarantees, is not included in the table. For further information on defined benefit pension plans, income taxes, and warranty obligations and deferred revenue for extended warranties, see Item 8: "Financial Statements and Supplementary Data," Notes 8, 11, and 12, respectively, included in this Annual Report on Form 10-K.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$353.6 million at December 31, 2012, compared with $329.6 million at December 31, 2011.</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2011, we entered into an $800 million senior secured credit facility (the 2011 credit facility), which replaced the senior secured credit facility we entered into in 2007. The 2011 credit facility was increased to $960 million on April 2, 2012. The 2011 credit facility consists of a $300 million U.S. dollar term loan and a multicurrency revolving line of credit (the revolver) with a principal amount of up to $660 million, which was increased from $500 million on April 2, 2012. At December 31, 2012, $140 million was outstanding under the revolver, and $54.3 million was utilized by outstanding standby letters of credit, resulting in $465.7 million available for additional borrowings.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further description of the term loan and the revolver under our 2011 credit facility, refer to Item 8: “Financial Statements and Supplementary Data,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 Debt” included in this Annual Report on Form 10-K.</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2011 credit facility, refer to Item 8: “Financial Statements and Supplementary Data, Note 12: Commitments and Contingencies” included in this Annual Report on Form 10-K.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2011, we announced the approval of projects to restructure our manufacturing operations to increase efficiency and lower our cost of manufacturing. We began implementing the projects in the fourth quarter of 2011, and we expect to substantially complete these projects by the end of 2013.</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expected costs decreased by approximately $7.7 million during 2012 to $77.8 million as of December 31, 2012. This decrease was primarily the result of gains on the dispositions of fixed assets and a correction to the amount of goodwill allocated to one of our non-core businesses sold as part of the restructuring process. In addition, expected severance costs were reduced as the result of certain employees, in positions that were eliminated under the restructuring plan, filling vacant positions within the Company. For further details regarding the correction of the goodwill impairment, refer to Item 8: "Financial Statements and Supplementary Data, Note 5: Goodwill" included in this Annual Report on Form 10-K. A substantial portion of the total expected restructuring charges was recognized in the fourth quarter of 2011, and $17.7 million was accrued at December 31, 2012, of which $13.2 million is expected to be paid over the next 12 months. We have begun to realize benefits from our restructuring projects during 2012, and we expect full realization of the cost savings by the end of 2013 and into 2014. Certain projects are subject to a variety of labor and employment laws, rules, and regulations that could result in a delay in implementing projects at some locations. Real estate market conditions may impact the timing of our ability to sell some of the manufacturing facilities we have designated for closure and disposal. This may delay the completion of the restructuring projects beyond 2013. For further details regarding our restructuring activities, refer to Item 8: "Financial Statements and Supplementary Data, Note 13: Restructuring" included in this Annual Report on Form 10-K.</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tax provision (benefit) as a percentage of income (loss) before tax typically differs from the U.S. federal statutory rate of 35%.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interest expense and penalties related to uncertain tax positions, among other items. Changes in tax laws and unanticipated tax liabilities could significantly impact our tax rate.</w:t>
      </w:r>
    </w:p>
    <w:p>
      <w:pPr>
        <w:spacing w:after="0" w:line="19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Our tax expense as a percentage of income before tax was 19.1% for 2012. Our actual tax rate was lower than the 35% U.S. federal statutory tax rate primarily due to: (1) earnings of our subsidiaries outside of the United States in jurisdictions where our statutory tax rate is lower than in the United States;</w:t>
      </w:r>
    </w:p>
    <w:p>
      <w:pPr>
        <w:ind w:firstLine="8"/>
        <w:spacing w:after="0" w:line="261" w:lineRule="auto"/>
        <w:tabs>
          <w:tab w:leader="none" w:pos="2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benefit of certain interest expense deductions; (3) a benefit related to the release of reserves for uncertain tax positions; and (4) benefits of certain acquisition related elections for tax purposes.</w:t>
      </w:r>
    </w:p>
    <w:p>
      <w:pPr>
        <w:spacing w:after="0" w:line="1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tax expense as a percentage of loss before tax was (0.9%) for 2011. Our actual tax rate was lower than the 35% U.S. federal statutory tax rate primarily due to: (1) the impact of the goodwill impairment, which was not deductible; (2) earnings of our subsidiaries outside of the United States in jurisdictions where our statutory tax rate is lower than in the United States; (3)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benefit of certain interest expense deductions; (4) a benefit related to the settlement of foreign tax litigation; and (5) benefits of certain acquisition related elections for tax purposes.</w:t>
      </w:r>
    </w:p>
    <w:p>
      <w:pPr>
        <w:spacing w:after="0" w:line="17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Our tax expense as a percentage of income before tax was 12.8% for 2010. Our actual tax rate was lower than the 35% U.S. federal statutory tax rate primarily due to: (1) earnings of our subsidiaries outside of the United States in jurisdictions where our statutory tax rate is lower than in the United States;</w:t>
      </w:r>
    </w:p>
    <w:p>
      <w:pPr>
        <w:ind w:right="20" w:firstLine="8"/>
        <w:spacing w:after="0" w:line="261" w:lineRule="auto"/>
        <w:tabs>
          <w:tab w:leader="none" w:pos="2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benefit of certain interest expense deductions; and (3) the de-recognition of a reserve for uncertain tax positions due to a change in the method of depreciation for certain foreign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deferred tax assets consist primarily of tax losses and temporary differences related to depreciation, amortization and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deferred tax assets at December 31, 2012 do not include the tax effect on $55.2 million of excess tax benefits from employee stock plan exercises.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be increased by $21.0 million when such excess tax benefits reduce cash taxes payable.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cash income tax payments for 2012, 2011, and 2010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7"/>
        </w:trPr>
        <w:tc>
          <w:tcPr>
            <w:tcW w:w="4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taxes paid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State income taxes paid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and local income taxes paid</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r>
      <w:tr>
        <w:trPr>
          <w:trHeight w:val="237"/>
        </w:trPr>
        <w:tc>
          <w:tcPr>
            <w:tcW w:w="4020" w:type="dxa"/>
            <w:vAlign w:val="bottom"/>
          </w:tcPr>
          <w:p>
            <w:pPr>
              <w:ind w:left="380"/>
              <w:spacing w:after="0"/>
              <w:rPr>
                <w:sz w:val="20"/>
                <w:szCs w:val="20"/>
                <w:color w:val="auto"/>
              </w:rPr>
            </w:pPr>
            <w:r>
              <w:rPr>
                <w:rFonts w:ascii="Arial" w:cs="Arial" w:eastAsia="Arial" w:hAnsi="Arial"/>
                <w:sz w:val="18"/>
                <w:szCs w:val="18"/>
                <w:color w:val="auto"/>
              </w:rPr>
              <w:t>Total income taxes paid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40,799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30,142</w:t>
            </w:r>
          </w:p>
        </w:tc>
      </w:tr>
      <w:tr>
        <w:trPr>
          <w:trHeight w:val="27"/>
        </w:trPr>
        <w:tc>
          <w:tcPr>
            <w:tcW w:w="4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current projections, we expect to pay, net of refunds, approximately $400,000 in state taxes and $28.9 million in foreign and local income taxes in 2013. Currently, we do not expect to pay any U.S. federal taxes in 2013.</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2012, there was $41.1 million of cash and short-term investments held by certain foreign subsidiaries that could be repatriated to fund U.S. operations, and additional tax costs may be required. Tax is one of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American Taxpayer Relief Act of 2012 (the "Act") was signed into law on January 2, 2013 and extended several business tax provisions including: (1) the active financing income and controlled foreign corporation look-through exceptions to certain foreign income; and (2) the research and experimentation credit. The tax effects of the Act will be recognized in the first quarter of 2013.</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2013 contributions, refer to Item 8: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Note 8: Defined Benefit Pension Plans” included in this Annual Report on Form 10-K.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2012, we have accrued $22.1 million of bonus and profit sharing plans expense for the achievement of annual financial and nonfinancial targets, compared with $26.0 million at December 31, 2011. These awards will be paid in cash during the first quarter of 2013.</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conducts business in Italy, Spain, and Portugal, which have been experiencing significant financial stress. As of December 31, 2012, we had trade receivables in these countries of approximately 1% of consolidated total assets, compared with approximately 2% as of December 31, 2011. As of December 31, 2012 and 2011, we did not have any marketable investments in corporate or sovereign government debt securities in these countries.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grow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pressures, changes in estimated liabilities for product warranties and/or litigation, future business combinations, capital market fluctuations, international risks, and other factors described under “Risk Factors” included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Refer to Item 8: “Financial Statements and Supplementary Data, Note 12: Commitments and Contingencies” included in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establish selling price using VSOE or TPE, we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Continuous quality control efforts during manufacturing reduce our exposure to warranty claims. If our quality control efforts fail to detect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fault in one of our products, we may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on new products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Asset impairments are determined at the asset group level. An impairment may be recorded for assets that are to be abandoned, sold for less than net book value, or held for sale in which the estimated proceeds are less than the net book value less costs to sell. We may also recognize impairment on an asset group, which is held and used, when the carrying value is not recoverable and exceeds the asset group's fair value. An asset group may consist of many inter-related assets and liabilities. If an asset group is considered a business, a portion of the Company's goodwill balance is allocated to it based on relative fair value.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 uncertainties, some of which are beyond our control, including future real estate market conditions and local labor and employment laws, rules, and regulations. If the amounts and timing of cash flows from restructuring activities are significantly different from what we have estimated, the actual amount of restructuring charges, including asset impairments, could be materially different, either higher or lower, than those we have previously recorded.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interest expense and penalties related to uncertain tax positions, among other items. Changes in tax laws and unanticipated tax liabilities could significantly impact our tax rate.</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work-in-process,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Prior to 2012, we had four reporting units: Itron North America (INA), Itron International (INL) Electricity, INL Gas, and INL Water. Effective January 1, 2012, our three reporting units are Electricity, Gas, and Water. Our Energy operating segment comprises the Electricity and Gas reporting units, while our Water operating segment comprises the Water reporting unit. In the first quarter of 2012, we reallocated the goodwill from our former INA reporting unit to the three new reporting units based on the relative fair values of the electricity, gas, and water product lines within INA on January 1, 2012. We also reassigned the goodwill from our former INL Electricity, INL Gas, and INL Water reporting units to the new reporting units, Electricity, Gas, and Water, respectively.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The impairment test for goodwill involves comparing the fair value of the reporting units to their carrying amounts. If the carrying amount of a reporting unit exceeds its fair value, a second step is required to measure for a goodwill impairment loss. This step revalues all assets and liabilities of the reporting unit to their current fair values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our aggregate market value of our shares of common stock on the date of valuation, while considering a reasonable control premium.</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significant decline in the price of our shares of common stock at the end of September 2011, our aggregate market value was significantly lower than the aggregate carrying value of our net assets. As a result, we performed an interim impairment test of our goodwill as of September 30, 2011, which resulted in an impairment charge. The goodwill impairment did not impact the debt covenants compliance under the Company's existing credit facility.</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goodwill impairment before the reorganization into the new reporting units was associated with two reporting units from the Itron International operating segment. The goodwill balance before and after the goodwill impairment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180" w:type="dxa"/>
            <w:vAlign w:val="bottom"/>
          </w:tcPr>
          <w:p>
            <w:pPr>
              <w:spacing w:after="0"/>
              <w:rPr>
                <w:sz w:val="18"/>
                <w:szCs w:val="18"/>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b w:val="1"/>
                <w:bCs w:val="1"/>
                <w:color w:val="auto"/>
                <w:w w:val="97"/>
              </w:rPr>
              <w:t>Before Impairment</w:t>
            </w:r>
          </w:p>
        </w:tc>
        <w:tc>
          <w:tcPr>
            <w:tcW w:w="260" w:type="dxa"/>
            <w:vAlign w:val="bottom"/>
          </w:tcPr>
          <w:p>
            <w:pPr>
              <w:spacing w:after="0"/>
              <w:rPr>
                <w:sz w:val="18"/>
                <w:szCs w:val="18"/>
                <w:color w:val="auto"/>
              </w:rPr>
            </w:pP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Impairment</w:t>
            </w:r>
          </w:p>
        </w:tc>
        <w:tc>
          <w:tcPr>
            <w:tcW w:w="320" w:type="dxa"/>
            <w:vAlign w:val="bottom"/>
          </w:tcPr>
          <w:p>
            <w:pPr>
              <w:spacing w:after="0"/>
              <w:rPr>
                <w:sz w:val="18"/>
                <w:szCs w:val="18"/>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After Impairment</w:t>
            </w:r>
          </w:p>
        </w:tc>
      </w:tr>
      <w:tr>
        <w:trPr>
          <w:trHeight w:val="33"/>
        </w:trPr>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Itron International - 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363,626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254,735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108,891</w:t>
            </w: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Itron International - Water</w:t>
            </w:r>
          </w:p>
        </w:tc>
        <w:tc>
          <w:tcPr>
            <w:tcW w:w="180" w:type="dxa"/>
            <w:vAlign w:val="bottom"/>
          </w:tcPr>
          <w:p>
            <w:pPr>
              <w:spacing w:after="0"/>
              <w:rPr>
                <w:sz w:val="20"/>
                <w:szCs w:val="20"/>
                <w:color w:val="auto"/>
              </w:rPr>
            </w:pP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389,308</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330,112</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59,196</w:t>
            </w:r>
          </w:p>
        </w:tc>
      </w:tr>
      <w:tr>
        <w:trPr>
          <w:trHeight w:val="33"/>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5"/>
        </w:trPr>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584,847</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most recent annual goodwill impairment test as of October 1, 2012, the percentage by which the estimated fair value of the reporting units exceeded their carrying value and amount of goodwill allocated to each of these reporting units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October 1, 2012</w:t>
            </w: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8"/>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Fair Value Exceeded</w:t>
            </w:r>
          </w:p>
        </w:tc>
      </w:tr>
      <w:tr>
        <w:trPr>
          <w:trHeight w:val="234"/>
        </w:trPr>
        <w:tc>
          <w:tcPr>
            <w:tcW w:w="2780" w:type="dxa"/>
            <w:vAlign w:val="bottom"/>
            <w:gridSpan w:val="2"/>
          </w:tcPr>
          <w:p>
            <w:pPr>
              <w:ind w:left="40"/>
              <w:spacing w:after="0"/>
              <w:rPr>
                <w:sz w:val="20"/>
                <w:szCs w:val="20"/>
                <w:color w:val="auto"/>
              </w:rPr>
            </w:pPr>
            <w:r>
              <w:rPr>
                <w:rFonts w:ascii="Arial" w:cs="Arial" w:eastAsia="Arial" w:hAnsi="Arial"/>
                <w:sz w:val="18"/>
                <w:szCs w:val="18"/>
                <w:b w:val="1"/>
                <w:bCs w:val="1"/>
                <w:color w:val="auto"/>
              </w:rPr>
              <w:t>Reporting Unit</w:t>
            </w: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Goodwill</w:t>
            </w:r>
          </w:p>
        </w:tc>
        <w:tc>
          <w:tcPr>
            <w:tcW w:w="180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 Value</w:t>
            </w:r>
          </w:p>
        </w:tc>
      </w:tr>
      <w:tr>
        <w:trPr>
          <w:trHeight w:val="27"/>
        </w:trPr>
        <w:tc>
          <w:tcPr>
            <w:tcW w:w="2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(in thousands)</w:t>
            </w:r>
          </w:p>
        </w:tc>
        <w:tc>
          <w:tcPr>
            <w:tcW w:w="180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 - Electricity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221,119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Energy - Gas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382,563</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2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2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(also known as “Level 2”), as defined by U.S. generally accepted accounting principles. We include the effect of our counterparty credit risk based on current published credit default swap rates when the net fair value of our derivative instruments is in a asset position and the effect of our own nonperformance risk when the net fair value of our derivative instruments is in a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measures, credit risks, and default rates). Derivatives are not used for trading or speculative purposes. Our derivatives are with credit worthy multinational commercial banks, with whom we have master netting agreements; however, our derivative positions are not disclosed on a net basis. There are no credit risk related contingent features within our derivative instruments.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certain international employees, primarily in Germany, France, Italy, Indonesia,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three discount rates, with consideration of the duration of the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the highest and lowest yielding 10% of bonds within each maturity group. The discount rates used, depending on the duration of the plans, were 2.75%, 3.25% and 3.50%, respectively. The weighted average discount rate used to measure the projected benefit obligation for all of the plans at December 31, 2012 was 3.36%. A change of 25 basis points in the discount rate would change our pension benefit obligation by approximately $4.0 million. The financial and actuarial assumptions used at December 31, 2012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general funding policy for these qualified pension plans is to contribute amounts at least sufficient to satisfy funding standards of the respective countries for each plan. Refer to Item 8: “Financial Statements and Supplementary Data, Note 8: Defined Benefit Pension Plans” included in this Annual Report on Form 10-K for our expected contributions for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In valuing our stock options, significant judgment is required in determining the expected volatility of our common stock and the expected life that individuals will hold their stock options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interest rate risk through our variable rate debt instruments. 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are effective July 31, 2013 to August 8, 2016.</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December 31, 2012. Weighted average variable rates in the table are based on implied forward rates in the Reuters U.S. dollar yield curve as of December 31, 2012 and our estimated leverage ratio, which determines our additional interest rate margin at December 31, 2012.</w:t>
      </w:r>
    </w:p>
    <w:p>
      <w:pPr>
        <w:spacing w:after="0" w:line="345" w:lineRule="exact"/>
        <w:rPr>
          <w:sz w:val="20"/>
          <w:szCs w:val="20"/>
          <w:color w:val="auto"/>
        </w:rPr>
      </w:pPr>
    </w:p>
    <w:p>
      <w:pPr>
        <w:ind w:left="2660"/>
        <w:spacing w:after="0"/>
        <w:tabs>
          <w:tab w:leader="none" w:pos="4040" w:val="left"/>
          <w:tab w:leader="none" w:pos="5440" w:val="left"/>
          <w:tab w:leader="none" w:pos="6920" w:val="left"/>
          <w:tab w:leader="none" w:pos="8160" w:val="left"/>
          <w:tab w:leader="none" w:pos="9260" w:val="left"/>
          <w:tab w:leader="none" w:pos="1034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Total</w:t>
      </w:r>
      <w:r>
        <w:rPr>
          <w:sz w:val="20"/>
          <w:szCs w:val="20"/>
          <w:color w:val="auto"/>
        </w:rPr>
        <w:tab/>
      </w:r>
      <w:r>
        <w:rPr>
          <w:rFonts w:ascii="Arial" w:cs="Arial" w:eastAsia="Arial" w:hAnsi="Arial"/>
          <w:sz w:val="16"/>
          <w:szCs w:val="16"/>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34290</wp:posOffset>
            </wp:positionV>
            <wp:extent cx="5822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ind w:left="40"/>
              <w:spacing w:after="0"/>
              <w:rPr>
                <w:sz w:val="20"/>
                <w:szCs w:val="20"/>
                <w:color w:val="auto"/>
              </w:rPr>
            </w:pPr>
            <w:r>
              <w:rPr>
                <w:rFonts w:ascii="Arial" w:cs="Arial" w:eastAsia="Arial" w:hAnsi="Arial"/>
                <w:sz w:val="18"/>
                <w:szCs w:val="18"/>
                <w:i w:val="1"/>
                <w:iCs w:val="1"/>
                <w:color w:val="auto"/>
              </w:rPr>
              <w:t>Variable Rate Debt</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1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Principal: U.S.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1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dollar term loan</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18,750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26,250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30,000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202,500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277,500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275,365</w:t>
            </w:r>
          </w:p>
        </w:tc>
      </w:tr>
      <w:tr>
        <w:trPr>
          <w:trHeight w:val="243"/>
        </w:trPr>
        <w:tc>
          <w:tcPr>
            <w:tcW w:w="2160" w:type="dxa"/>
            <w:vAlign w:val="bottom"/>
          </w:tcPr>
          <w:p>
            <w:pPr>
              <w:ind w:left="620"/>
              <w:spacing w:after="0"/>
              <w:rPr>
                <w:sz w:val="20"/>
                <w:szCs w:val="20"/>
                <w:color w:val="auto"/>
              </w:rPr>
            </w:pPr>
            <w:r>
              <w:rPr>
                <w:rFonts w:ascii="Arial" w:cs="Arial" w:eastAsia="Arial" w:hAnsi="Arial"/>
                <w:sz w:val="18"/>
                <w:szCs w:val="18"/>
                <w:color w:val="auto"/>
                <w:w w:val="90"/>
              </w:rPr>
              <w:t>Average interest rate</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1.48 %</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1.60 %</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1.83 %</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2.21 %</w:t>
            </w:r>
          </w:p>
        </w:tc>
        <w:tc>
          <w:tcPr>
            <w:tcW w:w="340" w:type="dxa"/>
            <w:vAlign w:val="bottom"/>
          </w:tcPr>
          <w:p>
            <w:pPr>
              <w:spacing w:after="0"/>
              <w:rPr>
                <w:sz w:val="21"/>
                <w:szCs w:val="21"/>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9"/>
        </w:trPr>
        <w:tc>
          <w:tcPr>
            <w:tcW w:w="2160" w:type="dxa"/>
            <w:vAlign w:val="bottom"/>
          </w:tcPr>
          <w:p>
            <w:pPr>
              <w:ind w:left="620"/>
              <w:spacing w:after="0"/>
              <w:rPr>
                <w:sz w:val="20"/>
                <w:szCs w:val="20"/>
                <w:color w:val="auto"/>
              </w:rPr>
            </w:pPr>
            <w:r>
              <w:rPr>
                <w:rFonts w:ascii="Arial" w:cs="Arial" w:eastAsia="Arial" w:hAnsi="Arial"/>
                <w:sz w:val="18"/>
                <w:szCs w:val="18"/>
                <w:color w:val="auto"/>
              </w:rPr>
              <w:t>Principal:</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160" w:type="dxa"/>
            <w:vAlign w:val="bottom"/>
          </w:tcPr>
          <w:p>
            <w:pPr>
              <w:ind w:left="620"/>
              <w:spacing w:after="0"/>
              <w:rPr>
                <w:sz w:val="20"/>
                <w:szCs w:val="20"/>
                <w:color w:val="auto"/>
              </w:rPr>
            </w:pPr>
            <w:r>
              <w:rPr>
                <w:rFonts w:ascii="Arial" w:cs="Arial" w:eastAsia="Arial" w:hAnsi="Arial"/>
                <w:sz w:val="18"/>
                <w:szCs w:val="18"/>
                <w:color w:val="auto"/>
              </w:rPr>
              <w:t>Multicurrency</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160" w:type="dxa"/>
            <w:vAlign w:val="bottom"/>
          </w:tcPr>
          <w:p>
            <w:pPr>
              <w:ind w:left="620"/>
              <w:spacing w:after="0"/>
              <w:rPr>
                <w:sz w:val="20"/>
                <w:szCs w:val="20"/>
                <w:color w:val="auto"/>
              </w:rPr>
            </w:pPr>
            <w:r>
              <w:rPr>
                <w:rFonts w:ascii="Arial" w:cs="Arial" w:eastAsia="Arial" w:hAnsi="Arial"/>
                <w:sz w:val="18"/>
                <w:szCs w:val="18"/>
                <w:color w:val="auto"/>
              </w:rPr>
              <w:t>revolving line of</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160" w:type="dxa"/>
            <w:vAlign w:val="bottom"/>
          </w:tcPr>
          <w:p>
            <w:pPr>
              <w:ind w:left="620"/>
              <w:spacing w:after="0"/>
              <w:rPr>
                <w:sz w:val="20"/>
                <w:szCs w:val="20"/>
                <w:color w:val="auto"/>
              </w:rPr>
            </w:pPr>
            <w:r>
              <w:rPr>
                <w:rFonts w:ascii="Arial" w:cs="Arial" w:eastAsia="Arial" w:hAnsi="Arial"/>
                <w:sz w:val="18"/>
                <w:szCs w:val="18"/>
                <w:color w:val="auto"/>
              </w:rPr>
              <w:t>credit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140,000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140,000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138,751</w:t>
            </w:r>
          </w:p>
        </w:tc>
      </w:tr>
      <w:tr>
        <w:trPr>
          <w:trHeight w:val="27"/>
        </w:trPr>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0"/>
              </w:rPr>
              <w:t>Average interest rate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1.60 %</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1.83 %</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2.21 %</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2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21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0"/>
              </w:rPr>
              <w:t>Interest rate swap on</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1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LIBOR based debt</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9"/>
        </w:trPr>
        <w:tc>
          <w:tcPr>
            <w:tcW w:w="2160" w:type="dxa"/>
            <w:vAlign w:val="bottom"/>
          </w:tcPr>
          <w:p>
            <w:pPr>
              <w:ind w:left="600"/>
              <w:spacing w:after="0"/>
              <w:rPr>
                <w:sz w:val="20"/>
                <w:szCs w:val="20"/>
                <w:color w:val="auto"/>
              </w:rPr>
            </w:pPr>
            <w:r>
              <w:rPr>
                <w:rFonts w:ascii="Arial" w:cs="Arial" w:eastAsia="Arial" w:hAnsi="Arial"/>
                <w:sz w:val="18"/>
                <w:szCs w:val="18"/>
                <w:color w:val="auto"/>
                <w:w w:val="92"/>
              </w:rPr>
              <w:t>Average interest rate</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160" w:type="dxa"/>
            <w:vAlign w:val="bottom"/>
          </w:tcPr>
          <w:p>
            <w:pPr>
              <w:ind w:left="840"/>
              <w:spacing w:after="0"/>
              <w:rPr>
                <w:sz w:val="20"/>
                <w:szCs w:val="20"/>
                <w:color w:val="auto"/>
              </w:rPr>
            </w:pPr>
            <w:r>
              <w:rPr>
                <w:rFonts w:ascii="Arial" w:cs="Arial" w:eastAsia="Arial" w:hAnsi="Arial"/>
                <w:sz w:val="18"/>
                <w:szCs w:val="18"/>
                <w:color w:val="auto"/>
              </w:rPr>
              <w:t>(pay)</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340" w:type="dxa"/>
            <w:vAlign w:val="bottom"/>
          </w:tcPr>
          <w:p>
            <w:pPr>
              <w:spacing w:after="0"/>
              <w:rPr>
                <w:sz w:val="20"/>
                <w:szCs w:val="20"/>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Average interest rate</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1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(receive)</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0.35 %</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0.58 %</w:t>
            </w:r>
          </w:p>
        </w:tc>
        <w:tc>
          <w:tcPr>
            <w:tcW w:w="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0.96 %</w:t>
            </w: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2160" w:type="dxa"/>
            <w:vAlign w:val="bottom"/>
          </w:tcPr>
          <w:p>
            <w:pPr>
              <w:ind w:left="600"/>
              <w:spacing w:after="0"/>
              <w:rPr>
                <w:sz w:val="20"/>
                <w:szCs w:val="20"/>
                <w:color w:val="auto"/>
              </w:rPr>
            </w:pPr>
            <w:r>
              <w:rPr>
                <w:rFonts w:ascii="Arial" w:cs="Arial" w:eastAsia="Arial" w:hAnsi="Arial"/>
                <w:sz w:val="18"/>
                <w:szCs w:val="18"/>
                <w:color w:val="auto"/>
              </w:rPr>
              <w:t>Net/spread</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(0.75)%</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(0.65)%</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21"/>
                <w:szCs w:val="21"/>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 sensitivity analysis as of December 31, 2012, we estimate that, if market interest rates average one percentage point higher in 2013 than in the table above, our financial results in 2013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was 59% of total revenues for the year ended December 31, 2012, compared with 58% and 50% for the years ended December 31, 2011 and 2010, respectively.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560 contracts were entered into during the year ended December 31, 2012), not designated for hedge accounting, with the intent to reduce earnings volatility associated</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certain of these balances. The notional amounts of the contracts ranged from $120,000 to $51 million, offsetting our exposures from the euro, British pound, Canadian dollar, Czech koruna, Hungarian forint, and various other currencies.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results of operations, financial position, and cash flows in conformity with U.S. generally accepted accounting principles. Management has included in our financial statements amounts based on estimates and judgments that it believes are reasonable under the circumstances.</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the consolidated financial statements, an integral part of the basic financial statements, provide additional detailed financial information. Our Board of Directors has an Audit/Finance Committee composed of independent directors. The Committee meets regularly with financial management and Ernst &amp; Young LLP to review internal control, auditing, and financial reporting matters.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Philip C. Mezey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Steven M. Helmbrecht</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Sr. Vice President and Chief Financial Officer</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20" w:firstLine="2624"/>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Itron, Inc.</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Itron, Inc. as of December 31, 2012 and 2011, and the related consolidated statements of operations, comprehensive income (loss), equity, and cash flows for each of the three years in the period ended December 31, 2012.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Itron, Inc. at December 31, 2012 and 2011, and the consolidated results of its operations and its cash flows for each of the three years in the period ended December 31, 2012, in conformity with U.S. generally accepted accounting principles. Also, in our opinion, the related financial statement schedule, when considered in relation to the basic financial statements taken as a whole, present fairly in all material respects the information set forth therein.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Itron, Inc.’s internal control over financial reporting as of December 31, 2012, based on criteria established in Internal Control-Integrated Framework issued by the Committee of Sponsoring Organizations of the Treadway Commission and our report dated February 21, 2013 expressed an unqualified opinion thereon.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0"/>
        </w:trPr>
        <w:tc>
          <w:tcPr>
            <w:tcW w:w="128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280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ITRON, INC.</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00" w:type="dxa"/>
            <w:vAlign w:val="bottom"/>
            <w:gridSpan w:val="6"/>
          </w:tcPr>
          <w:p>
            <w:pPr>
              <w:ind w:left="2320"/>
              <w:spacing w:after="0"/>
              <w:rPr>
                <w:sz w:val="20"/>
                <w:szCs w:val="20"/>
                <w:color w:val="auto"/>
              </w:rPr>
            </w:pPr>
            <w:r>
              <w:rPr>
                <w:rFonts w:ascii="Arial" w:cs="Arial" w:eastAsia="Arial" w:hAnsi="Arial"/>
                <w:sz w:val="18"/>
                <w:szCs w:val="18"/>
                <w:b w:val="1"/>
                <w:bCs w:val="1"/>
                <w:color w:val="auto"/>
              </w:rPr>
              <w:t>CONSOLIDATED STATEMENTS OF OPERATIONS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2,178,178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2,259,271</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1,463,031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1,687,666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1,558,596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746,458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700,675</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197,603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171,035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178,653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139,166</w:t>
            </w: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138,290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142,908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137,226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69,051</w:t>
            </w: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Restructuring expense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68,082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584,847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564,021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1,205,641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516,478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151,126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184,197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(54,904)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Other income (expense), net</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(59,752)</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124,445</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108,471</w:t>
            </w:r>
          </w:p>
        </w:tc>
        <w:tc>
          <w:tcPr>
            <w:tcW w:w="0" w:type="dxa"/>
            <w:vAlign w:val="bottom"/>
          </w:tcPr>
          <w:p>
            <w:pPr>
              <w:spacing w:after="0"/>
              <w:rPr>
                <w:sz w:val="1"/>
                <w:szCs w:val="1"/>
                <w:color w:val="auto"/>
              </w:rPr>
            </w:pPr>
          </w:p>
        </w:tc>
      </w:tr>
      <w:tr>
        <w:trPr>
          <w:trHeight w:val="243"/>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Itron, Inc.</w:t>
            </w:r>
          </w:p>
        </w:tc>
        <w:tc>
          <w:tcPr>
            <w:tcW w:w="28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108,275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104,770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Basic</w:t>
            </w:r>
          </w:p>
        </w:tc>
        <w:tc>
          <w:tcPr>
            <w:tcW w:w="2480" w:type="dxa"/>
            <w:vAlign w:val="bottom"/>
            <w:tcBorders>
              <w:bottom w:val="single" w:sz="8" w:color="CCEEFF"/>
            </w:tcBorders>
            <w:gridSpan w:val="2"/>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gridSpan w:val="2"/>
            <w:vMerge w:val="continue"/>
          </w:tcPr>
          <w:p>
            <w:pPr>
              <w:spacing w:after="0"/>
              <w:rPr>
                <w:sz w:val="19"/>
                <w:szCs w:val="19"/>
                <w:color w:val="auto"/>
              </w:rPr>
            </w:pPr>
          </w:p>
        </w:tc>
        <w:tc>
          <w:tcPr>
            <w:tcW w:w="28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3340" w:type="dxa"/>
            <w:vAlign w:val="bottom"/>
            <w:tcBorders>
              <w:bottom w:val="single" w:sz="8" w:color="CCEEFF"/>
            </w:tcBorders>
          </w:tcPr>
          <w:p>
            <w:pPr>
              <w:spacing w:after="0"/>
              <w:rPr>
                <w:sz w:val="5"/>
                <w:szCs w:val="5"/>
                <w:color w:val="auto"/>
              </w:rPr>
            </w:pPr>
          </w:p>
        </w:tc>
        <w:tc>
          <w:tcPr>
            <w:tcW w:w="2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40,337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40,947</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8"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108,471</w:t>
            </w:r>
          </w:p>
        </w:tc>
      </w:tr>
      <w:tr>
        <w:trPr>
          <w:trHeight w:val="284"/>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(124,304)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Unrealized gains (losses) on hedging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w w:val="99"/>
              </w:rPr>
              <w:t>Net unrealized gain (loss) on derivative instruments, designated as cash flow hedges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unrealized gain (loss) on nonderivative hedging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15,825</w:t>
            </w: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Net hedging loss (gain) reclassified into net income (loss)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7,371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(106,217)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7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112,977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(508,636)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2,254</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7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tcPr>
          <w:p>
            <w:pPr>
              <w:ind w:left="200"/>
              <w:spacing w:after="0"/>
              <w:rPr>
                <w:sz w:val="20"/>
                <w:szCs w:val="20"/>
                <w:color w:val="auto"/>
              </w:rPr>
            </w:pPr>
            <w:r>
              <w:rPr>
                <w:rFonts w:ascii="Arial" w:cs="Arial" w:eastAsia="Arial" w:hAnsi="Arial"/>
                <w:sz w:val="18"/>
                <w:szCs w:val="18"/>
                <w:color w:val="auto"/>
              </w:rPr>
              <w:t>Comprehensive income (loss) attributable to noncontrolling interest,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w:t>
            </w: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Amounts attributable to noncontrolling interest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w:t>
            </w:r>
          </w:p>
        </w:tc>
      </w:tr>
      <w:tr>
        <w:trPr>
          <w:trHeight w:val="291"/>
        </w:trPr>
        <w:tc>
          <w:tcPr>
            <w:tcW w:w="7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111,051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65"/>
        </w:trPr>
        <w:tc>
          <w:tcPr>
            <w:tcW w:w="10060" w:type="dxa"/>
            <w:vAlign w:val="bottom"/>
            <w:gridSpan w:val="7"/>
          </w:tcPr>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7100" w:type="dxa"/>
            <w:vAlign w:val="bottom"/>
          </w:tcPr>
          <w:p>
            <w:pPr>
              <w:ind w:left="562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840"/>
        </w:trPr>
        <w:tc>
          <w:tcPr>
            <w:tcW w:w="1280" w:type="dxa"/>
            <w:vAlign w:val="bottom"/>
            <w:tcBorders>
              <w:top w:val="single" w:sz="8" w:color="0000FF"/>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86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2012</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133,086</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375,326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371,641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195,837</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Deferred tax assets current,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33,536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58,172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81,618</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820,950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840,354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255,212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262,670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28,908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62,704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239,500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701,016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636,910</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2,089,441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2,064,282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246,775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49,950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53,734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93,730</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11,526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27,115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52,588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37,369</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467,373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510,722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398,750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437,502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Pension plan benefit liability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90,533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62,449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80,100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73,417</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1,079,928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1,142,737</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Common stock, no par value, 75 million shares authorized, 39,277 and 40,032 shares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1,294,213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1,319,222</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(34,384)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(37,160)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(375,137)</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992,967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906,925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14,620</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1,009,513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921,545</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2,089,441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2,064,282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42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08" w:right="239" w:bottom="42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Retained Earnings</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December 31, 2009</w:t>
            </w:r>
          </w:p>
        </w:tc>
        <w:tc>
          <w:tcPr>
            <w:tcW w:w="10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40,143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1,299,134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71,130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30,250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1,400,514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1,407,839</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104,770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104,770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3,701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108,471</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(106,104)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(106,104)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(106,217)</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Stock issues: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5,933</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stock-based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compensation awards</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91"/>
        </w:trPr>
        <w:tc>
          <w:tcPr>
            <w:tcW w:w="252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2,843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2,843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2,843</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3"/>
              </w:rPr>
              <w:t>Stock-based compensation expense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18,743</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520" w:type="dxa"/>
            <w:vAlign w:val="bottom"/>
          </w:tcPr>
          <w:p>
            <w:pPr>
              <w:ind w:left="380"/>
              <w:spacing w:after="0" w:line="157" w:lineRule="exact"/>
              <w:rPr>
                <w:sz w:val="20"/>
                <w:szCs w:val="20"/>
                <w:color w:val="auto"/>
              </w:rPr>
            </w:pPr>
            <w:r>
              <w:rPr>
                <w:rFonts w:ascii="Arial" w:cs="Arial" w:eastAsia="Arial" w:hAnsi="Arial"/>
                <w:sz w:val="14"/>
                <w:szCs w:val="14"/>
                <w:color w:val="auto"/>
              </w:rPr>
              <w:t>Employee stock plans income tax</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benefits</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December 31, 2010</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40,431</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1,328,249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(34,974)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135,020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1,428,295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10,913</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1,439,208</w:t>
            </w:r>
          </w:p>
        </w:tc>
        <w:tc>
          <w:tcPr>
            <w:tcW w:w="0" w:type="dxa"/>
            <w:vAlign w:val="bottom"/>
          </w:tcPr>
          <w:p>
            <w:pPr>
              <w:spacing w:after="0"/>
              <w:rPr>
                <w:sz w:val="1"/>
                <w:szCs w:val="1"/>
                <w:color w:val="auto"/>
              </w:rPr>
            </w:pPr>
          </w:p>
        </w:tc>
      </w:tr>
      <w:tr>
        <w:trPr>
          <w:trHeight w:val="60"/>
        </w:trPr>
        <w:tc>
          <w:tcPr>
            <w:tcW w:w="25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(510,157)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(510,157)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(506,196)</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(2,186)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(2,440)</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issues and repurchases: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380"/>
              <w:spacing w:after="0"/>
              <w:rPr>
                <w:sz w:val="20"/>
                <w:szCs w:val="20"/>
                <w:color w:val="auto"/>
              </w:rPr>
            </w:pPr>
            <w:r>
              <w:rPr>
                <w:rFonts w:ascii="Arial" w:cs="Arial" w:eastAsia="Arial" w:hAnsi="Arial"/>
                <w:sz w:val="14"/>
                <w:szCs w:val="14"/>
                <w:color w:val="auto"/>
              </w:rPr>
              <w:t>Options exercised</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stock awards released</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520" w:type="dxa"/>
            <w:vAlign w:val="bottom"/>
          </w:tcPr>
          <w:p>
            <w:pPr>
              <w:ind w:left="380"/>
              <w:spacing w:after="0" w:line="157" w:lineRule="exact"/>
              <w:rPr>
                <w:sz w:val="20"/>
                <w:szCs w:val="20"/>
                <w:color w:val="auto"/>
              </w:rPr>
            </w:pPr>
            <w:r>
              <w:rPr>
                <w:rFonts w:ascii="Arial" w:cs="Arial" w:eastAsia="Arial" w:hAnsi="Arial"/>
                <w:sz w:val="14"/>
                <w:szCs w:val="14"/>
                <w:color w:val="auto"/>
              </w:rPr>
              <w:t>Issuance of stock-based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380"/>
              <w:spacing w:after="0"/>
              <w:rPr>
                <w:sz w:val="20"/>
                <w:szCs w:val="20"/>
                <w:color w:val="auto"/>
              </w:rPr>
            </w:pPr>
            <w:r>
              <w:rPr>
                <w:rFonts w:ascii="Arial" w:cs="Arial" w:eastAsia="Arial" w:hAnsi="Arial"/>
                <w:sz w:val="14"/>
                <w:szCs w:val="14"/>
                <w:color w:val="auto"/>
              </w:rPr>
              <w:t>compensation awards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purchase plan</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380"/>
              <w:spacing w:after="0"/>
              <w:rPr>
                <w:sz w:val="20"/>
                <w:szCs w:val="20"/>
                <w:color w:val="auto"/>
              </w:rPr>
            </w:pPr>
            <w:r>
              <w:rPr>
                <w:rFonts w:ascii="Arial" w:cs="Arial" w:eastAsia="Arial" w:hAnsi="Arial"/>
                <w:sz w:val="14"/>
                <w:szCs w:val="14"/>
                <w:color w:val="auto"/>
                <w:w w:val="93"/>
              </w:rPr>
              <w:t>Stock-based compensation expense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15,942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15,942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15,942</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plans income tax</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deficiencies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91"/>
        </w:trPr>
        <w:tc>
          <w:tcPr>
            <w:tcW w:w="252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(29,428)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(29,428)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(29,428)</w:t>
            </w:r>
          </w:p>
        </w:tc>
        <w:tc>
          <w:tcPr>
            <w:tcW w:w="0" w:type="dxa"/>
            <w:vAlign w:val="bottom"/>
          </w:tcPr>
          <w:p>
            <w:pPr>
              <w:spacing w:after="0"/>
              <w:rPr>
                <w:sz w:val="1"/>
                <w:szCs w:val="1"/>
                <w:color w:val="auto"/>
              </w:rPr>
            </w:pPr>
          </w:p>
        </w:tc>
      </w:tr>
      <w:tr>
        <w:trPr>
          <w:trHeight w:val="74"/>
        </w:trPr>
        <w:tc>
          <w:tcPr>
            <w:tcW w:w="25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December 31, 2011</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40,032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1,319,222</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(37,160)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(375,137)</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906,925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14,620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921,545</w:t>
            </w:r>
          </w:p>
        </w:tc>
        <w:tc>
          <w:tcPr>
            <w:tcW w:w="0" w:type="dxa"/>
            <w:vAlign w:val="bottom"/>
          </w:tcPr>
          <w:p>
            <w:pPr>
              <w:spacing w:after="0"/>
              <w:rPr>
                <w:sz w:val="1"/>
                <w:szCs w:val="1"/>
                <w:color w:val="auto"/>
              </w:rPr>
            </w:pPr>
          </w:p>
        </w:tc>
      </w:tr>
      <w:tr>
        <w:trPr>
          <w:trHeight w:val="60"/>
        </w:trPr>
        <w:tc>
          <w:tcPr>
            <w:tcW w:w="25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108,275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108,275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110,224</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w w:val="99"/>
              </w:rPr>
              <w:t>Other comprehensive income, net of tax</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2,776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2,776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issues and repurchases: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380"/>
              <w:spacing w:after="0"/>
              <w:rPr>
                <w:sz w:val="20"/>
                <w:szCs w:val="20"/>
                <w:color w:val="auto"/>
              </w:rPr>
            </w:pPr>
            <w:r>
              <w:rPr>
                <w:rFonts w:ascii="Arial" w:cs="Arial" w:eastAsia="Arial" w:hAnsi="Arial"/>
                <w:sz w:val="14"/>
                <w:szCs w:val="14"/>
                <w:color w:val="auto"/>
              </w:rPr>
              <w:t>Options exercised</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1,188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1,188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stock awards released</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520" w:type="dxa"/>
            <w:vAlign w:val="bottom"/>
          </w:tcPr>
          <w:p>
            <w:pPr>
              <w:ind w:left="380"/>
              <w:spacing w:after="0" w:line="157" w:lineRule="exact"/>
              <w:rPr>
                <w:sz w:val="20"/>
                <w:szCs w:val="20"/>
                <w:color w:val="auto"/>
              </w:rPr>
            </w:pPr>
            <w:r>
              <w:rPr>
                <w:rFonts w:ascii="Arial" w:cs="Arial" w:eastAsia="Arial" w:hAnsi="Arial"/>
                <w:sz w:val="14"/>
                <w:szCs w:val="14"/>
                <w:color w:val="auto"/>
              </w:rPr>
              <w:t>Issuance of stock-based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380"/>
              <w:spacing w:after="0"/>
              <w:rPr>
                <w:sz w:val="20"/>
                <w:szCs w:val="20"/>
                <w:color w:val="auto"/>
              </w:rPr>
            </w:pPr>
            <w:r>
              <w:rPr>
                <w:rFonts w:ascii="Arial" w:cs="Arial" w:eastAsia="Arial" w:hAnsi="Arial"/>
                <w:sz w:val="14"/>
                <w:szCs w:val="14"/>
                <w:color w:val="auto"/>
              </w:rPr>
              <w:t>compensation awards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purchase plan</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3,593</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380"/>
              <w:spacing w:after="0"/>
              <w:rPr>
                <w:sz w:val="20"/>
                <w:szCs w:val="20"/>
                <w:color w:val="auto"/>
              </w:rPr>
            </w:pPr>
            <w:r>
              <w:rPr>
                <w:rFonts w:ascii="Arial" w:cs="Arial" w:eastAsia="Arial" w:hAnsi="Arial"/>
                <w:sz w:val="14"/>
                <w:szCs w:val="14"/>
                <w:color w:val="auto"/>
                <w:w w:val="93"/>
              </w:rPr>
              <w:t>Stock-based compensation expense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18,743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18,743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18,743</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plans income tax</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deficiencies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91"/>
        </w:trPr>
        <w:tc>
          <w:tcPr>
            <w:tcW w:w="252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(47,441)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(47,441)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(47,441)</w:t>
            </w:r>
          </w:p>
        </w:tc>
        <w:tc>
          <w:tcPr>
            <w:tcW w:w="0" w:type="dxa"/>
            <w:vAlign w:val="bottom"/>
          </w:tcPr>
          <w:p>
            <w:pPr>
              <w:spacing w:after="0"/>
              <w:rPr>
                <w:sz w:val="1"/>
                <w:szCs w:val="1"/>
                <w:color w:val="auto"/>
              </w:rPr>
            </w:pPr>
          </w:p>
        </w:tc>
      </w:tr>
      <w:tr>
        <w:trPr>
          <w:trHeight w:val="74"/>
        </w:trPr>
        <w:tc>
          <w:tcPr>
            <w:tcW w:w="25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December 31, 2012</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39,277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1,294,213</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(34,384)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(266,862)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992,967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16,546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1,009,513</w:t>
            </w:r>
          </w:p>
        </w:tc>
        <w:tc>
          <w:tcPr>
            <w:tcW w:w="0" w:type="dxa"/>
            <w:vAlign w:val="bottom"/>
          </w:tcPr>
          <w:p>
            <w:pPr>
              <w:spacing w:after="0"/>
              <w:rPr>
                <w:sz w:val="1"/>
                <w:szCs w:val="1"/>
                <w:color w:val="auto"/>
              </w:rPr>
            </w:pPr>
          </w:p>
        </w:tc>
      </w:tr>
      <w:tr>
        <w:trPr>
          <w:trHeight w:val="60"/>
        </w:trPr>
        <w:tc>
          <w:tcPr>
            <w:tcW w:w="25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40"/>
        </w:trPr>
        <w:tc>
          <w:tcPr>
            <w:tcW w:w="1280" w:type="dxa"/>
            <w:vAlign w:val="bottom"/>
            <w:tcBorders>
              <w:top w:val="single" w:sz="8" w:color="0000FF"/>
            </w:tcBorders>
          </w:tcPr>
          <w:p>
            <w:pPr>
              <w:spacing w:after="0"/>
              <w:rPr>
                <w:sz w:val="24"/>
                <w:szCs w:val="24"/>
                <w:color w:val="auto"/>
              </w:rPr>
            </w:pPr>
          </w:p>
        </w:tc>
        <w:tc>
          <w:tcPr>
            <w:tcW w:w="5340" w:type="dxa"/>
            <w:vAlign w:val="bottom"/>
          </w:tcPr>
          <w:p>
            <w:pPr>
              <w:ind w:left="3900"/>
              <w:spacing w:after="0"/>
              <w:rPr>
                <w:sz w:val="20"/>
                <w:szCs w:val="20"/>
                <w:color w:val="auto"/>
              </w:rPr>
            </w:pPr>
            <w:r>
              <w:rPr>
                <w:rFonts w:ascii="Arial" w:cs="Arial" w:eastAsia="Arial" w:hAnsi="Arial"/>
                <w:sz w:val="18"/>
                <w:szCs w:val="18"/>
                <w:b w:val="1"/>
                <w:bCs w:val="1"/>
                <w:color w:val="auto"/>
              </w:rPr>
              <w:t>ITRON, INC.</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CONSOLIDATED STATEMENTS OF CASH FLOWS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110,224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(506,196)</w:t>
            </w:r>
          </w:p>
        </w:tc>
        <w:tc>
          <w:tcPr>
            <w:tcW w:w="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108,471</w:t>
            </w:r>
          </w:p>
        </w:tc>
      </w:tr>
      <w:tr>
        <w:trPr>
          <w:trHeight w:val="229"/>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109,471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129,466</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131,205</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16,411</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19,107</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5,492</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5,336</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10,099</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Deferred taxes,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(17,992)</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584,847</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Restructuring expense (recovery), non-cash</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25,144</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Other adjustments,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1,864</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(22,770)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(45,612)</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6,389</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(41,417)</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(3,859)</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(7,655)</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(17,401)</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22,715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40,884</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(19,813)</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42,245</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19,070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(2,356)</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29,616</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14,656</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Other operating,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(9,283)</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4,036</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252,358</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254,591</w:t>
            </w:r>
          </w:p>
        </w:tc>
      </w:tr>
      <w:tr>
        <w:trPr>
          <w:trHeight w:val="270"/>
        </w:trPr>
        <w:tc>
          <w:tcPr>
            <w:tcW w:w="12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(60,076)</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(62,822)</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Business acquisitions, net of cash equivalents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(20,092)</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Other investing,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6,548</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(125,445)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(78,741)</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(56,274)</w:t>
            </w:r>
          </w:p>
        </w:tc>
      </w:tr>
      <w:tr>
        <w:trPr>
          <w:trHeight w:val="270"/>
        </w:trPr>
        <w:tc>
          <w:tcPr>
            <w:tcW w:w="12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670,000</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(848,054)</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(155,163)</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4,625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8,776</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(29,428)</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Other financing,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(6,596)</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(209,453)</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(148,637)</w:t>
            </w:r>
          </w:p>
        </w:tc>
      </w:tr>
      <w:tr>
        <w:trPr>
          <w:trHeight w:val="270"/>
        </w:trPr>
        <w:tc>
          <w:tcPr>
            <w:tcW w:w="12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(36,391)</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47,584</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133,086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169,477</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121,893</w:t>
            </w:r>
          </w:p>
        </w:tc>
      </w:tr>
      <w:tr>
        <w:trPr>
          <w:trHeight w:val="297"/>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136,411</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133,086</w:t>
            </w:r>
          </w:p>
        </w:tc>
        <w:tc>
          <w:tcPr>
            <w:tcW w:w="3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169,477</w:t>
            </w:r>
          </w:p>
        </w:tc>
      </w:tr>
      <w:tr>
        <w:trPr>
          <w:trHeight w:val="257"/>
        </w:trPr>
        <w:tc>
          <w:tcPr>
            <w:tcW w:w="1280" w:type="dxa"/>
            <w:vAlign w:val="bottom"/>
            <w:shd w:val="clear" w:color="auto" w:fill="CCEEFF"/>
          </w:tcPr>
          <w:p>
            <w:pPr>
              <w:spacing w:after="0"/>
              <w:rPr>
                <w:sz w:val="22"/>
                <w:szCs w:val="22"/>
                <w:color w:val="auto"/>
              </w:rPr>
            </w:pPr>
          </w:p>
        </w:tc>
        <w:tc>
          <w:tcPr>
            <w:tcW w:w="5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Property, plant, and equipment purchased but not yet paid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6,739</w:t>
            </w:r>
          </w:p>
        </w:tc>
        <w:tc>
          <w:tcPr>
            <w:tcW w:w="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5,995</w:t>
            </w:r>
          </w:p>
        </w:tc>
      </w:tr>
      <w:tr>
        <w:trPr>
          <w:trHeight w:val="270"/>
        </w:trPr>
        <w:tc>
          <w:tcPr>
            <w:tcW w:w="12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28,128</w:t>
            </w:r>
          </w:p>
        </w:tc>
        <w:tc>
          <w:tcPr>
            <w:tcW w:w="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30,142</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Interest, net of amounts capitalized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28,047</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39,315</w:t>
            </w:r>
          </w:p>
        </w:tc>
      </w:tr>
    </w:tbl>
    <w:p>
      <w:pPr>
        <w:spacing w:after="0" w:line="175" w:lineRule="exact"/>
        <w:rPr>
          <w:sz w:val="20"/>
          <w:szCs w:val="20"/>
          <w:color w:val="auto"/>
        </w:rPr>
      </w:pPr>
    </w:p>
    <w:p>
      <w:pPr>
        <w:sectPr>
          <w:pgSz w:w="11900" w:h="16838" w:orient="portrait"/>
          <w:cols w:equalWidth="0" w:num="1">
            <w:col w:w="11420"/>
          </w:cols>
          <w:pgMar w:left="240" w:top="108" w:right="239" w:bottom="0"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420"/>
          </w:cols>
          <w:pgMar w:left="240" w:top="108" w:right="239" w:bottom="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019"/>
          </w:cols>
          <w:pgMar w:left="1440" w:top="368" w:right="1440"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the terms “we,” “us,” “our,” “Itron,” and the “Company” refer to Itron, Inc.</w:t>
      </w:r>
    </w:p>
    <w:p>
      <w:pPr>
        <w:spacing w:after="0" w:line="27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hardware and software products and services to utilities for the energy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presented in this Annual Report include the Consolidated Statements of Operations, Comprehensive Income (Loss), Equity, and Cash Flows for the years ended December 31, 2012, 2011, and 2010 and the Consolidated Balance Sheets as of December 31, 2012 and 2011 of Itron, Inc. and its subsidiaries.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some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The noncontrolling interest balance in our Consolidated Balance Sheets represents the proportional share of the equity of the joint venture entities, which is attributable to the minority shareholders.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prior year amounts have been reclassified to conform to the current classifications in the Consolidated Statements of Operations. These reclassifications relate to certain administrative expenses in the former Itron North America segment that in prior periods were allocated to cost of revenues and sales and marketing and product development operating expenses for the years ended December 31, 2011 and 2010 but have been reclassified to general and administrative operating expenses to conform to our worldwide presentation across our new segment structure. These reclassifications did not have a material impact to gross profit and had no impact on income (loss) before income taxes, net income (loss) attributable to Itron, Inc., earnings (loss) per share, or total equity.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 xml:space="preserve">On May 1, 2012, we completed the acquisition of SmartSynch, Inc. (SmartSynch). SmartSynch provides smart grid solutions that utilize cellular networks for communications. We have included supplemental pro forma financial information related to the acquisition in Note 17: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January 2011, we completed the acquisition of Asais S.A.S. and Asais Conseil S.A.S. (collectively Asais), an energy information management software and consulting services provider located in France. The acquisition consisted of cash and contingent consideration. Additional acquisitions were completed in 2011. These 2011 acquisitions were immaterial to our financial position, results of operations, and cash flows. (See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policy below.)</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include raw materials, work-in-process, and finished goods. Inventories are stated at the lower of cost or market using the first-in, first-out method. Cost includes raw materials and labor, plus applied direct and indirect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Derivatives are not used for trading or speculative purposes. Our derivatives are with credit worthy multinational commercial banks, with whom we have master netting agreements; however, our derivative positions are not disclosed on a net basis. There are no credit-risk-related contingent features within our derivative instruments. Refer to Note 7 and Note 14 for further disclosures of our derivative instruments and their impact on OCI.</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 of Operations according to the use of the asset, except those gains and losses recognized in conjunction with our restructuring activities, which are classified as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including contingent maturity or 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finite lives and are amortized over their estimated useful lives based on estimated discounted cash flows. Intangible assets are tested for impairment at the asset group level when events or changes in circumstances indicate the carrying value may not be recoverable.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Prior to 2012, we had four reporting units: Itron North America (INA), Itron International (INL) Electricity, INL Gas, and INL Water. Effective January 1, 2012, our three reporting units are Electricity, Gas, and Water. Our Energy operating segment consists of the Electricity and Gas reporting units, while our Water operating segment consists of the Water reporting unit. In the first quarter of 2012, we reallocated the goodwill from our former INA reporting unit to the three new reporting units based on the relative fair values of the electricity, gas, and water product lines within INA on January 1, 2012. We also reassigned the goodwill from our former INL Electricity, INL Gas, and INL Water reporting units to the new reporting units, Electricity, Gas, and Water, respectively.</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test goodwill for impairment each year as of October 1, or more frequently should a significant impairment indicator occur. The impairment test involves comparing the fair value of the reporting units to their carrying amounts. If the carrying amount of a reporting unit exceeds its fair value, a second step is required to measure for a goodwill impairment loss. This second step revalues all assets and liabilities of the reporting unit to their current fair values and then compares the implied fair value of the reporting unit's goodwill to the carrying amount of that goodwill. Then if the carrying amount of the reporting unit's goodwill exceeds the implied fair value of the goodwill, an impairment loss is recognized in an amount equal to the excess.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Continuous quality control efforts during manufacturing reduce our exposure to warranty claims. When our quality control efforts fail to detect a fault in one of our products, we may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of similar products until sufficient data is available. As actual experience on new products becomes available, it is used to modify the original estimate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postemployement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 impairments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An asset group may consist of many inter-related assets and liabilities. If an asset group is considered a business, a portion of the Company's goodwill balance is allocated to it based on relative fair value.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may repurchase shares of Itron common stock under a twelve-month program, which was authorized by our Board of Directors</w:t>
      </w:r>
    </w:p>
    <w:p>
      <w:pPr>
        <w:spacing w:after="0" w:line="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October 24, 2011.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Instead, the value of the repurchased shares is deducted from common stock. On September 13, 2012, the Board approved the extension of the expiration date of the stock repurchase program until February 15, 2013, or until the aggregate limit of $100 million of outstanding common stock has been repurchased, whichever occurred first. We did not repurchase any stock from January 1, 2013 through February 15, 2013, when the stock repurchase program expired.</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The majority of our revenue is recognized when products are shipped to or received by a customer or when services are provided.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We primarily enter into two types of multiple deliverable arrangements, which include a combination of hardware and associated software and services:</w:t>
      </w:r>
    </w:p>
    <w:p>
      <w:pPr>
        <w:spacing w:after="0" w:line="2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Arrangements that do not include the deployment of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implementation services are essential to the functionality of the associated software, software and implementation revenues are recognized using either the percentage-of-completion methodology of contract accounting if project costs can be reliably estimated or the completed contract methodology if project costs cannot be reliably estimated.</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Arrangements to deploy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Revenue from associated software and services is recognized using the units-of-delivery method of contract accounting, as the software is essential to the functionality of the related hardware and the implementation services are essential to the functionality of the associated software. This methodology results in the deferral of costs and revenues as professional services and software implementation commence prior to deployment of hardware.</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revenue.We allocate consideration to each deliverable in an arrangement based on its relative selling price. We determine selling price using VSOE, if it exists, otherwise we use third-party evidence (TPE). If neither VSOE nor TPE of selling price exists for a unit of accounting, we use estimated selling price (ESP).</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establish selling price using VSOE or TPE, we use ESP in the allocation of arrangement consideration. The objective of ESP is to determine the price at which we would transact if the product or service were regularly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$74.9 million and $61.0 million at December 31, 2012 and 2011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$24.4 million and $11.7 million at December 31, 2012 and 2011 and are recorded within other assets in the Consolidated Balance Sheets.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due to the immaterial nature of these costs as a result of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if probable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recorded to reduce the carrying amounts of deferred tax assets if it is not more likely than not that such assets will be realized. We do not record tax liabilities on undistributed earnings of international subsidiaries that are permanently reinvested.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derived valuations in which significant inputs are corroborated by observable market data either directly or indirectly through correlation or other means.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 may include yield curves, volatility, credit risks, and default rates.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(Loss)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6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7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2010</w:t>
            </w:r>
          </w:p>
        </w:tc>
      </w:tr>
      <w:tr>
        <w:trPr>
          <w:trHeight w:val="27"/>
        </w:trPr>
        <w:tc>
          <w:tcPr>
            <w:tcW w:w="5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7"/>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gridSpan w:val="7"/>
          </w:tcPr>
          <w:p>
            <w:pPr>
              <w:jc w:val="center"/>
              <w:ind w:left="6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available to common shareholders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108,275</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(510,157)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104,770</w:t>
            </w:r>
          </w:p>
        </w:tc>
      </w:tr>
      <w:tr>
        <w:trPr>
          <w:trHeight w:val="284"/>
        </w:trPr>
        <w:tc>
          <w:tcPr>
            <w:tcW w:w="5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40,337</w:t>
            </w:r>
          </w:p>
        </w:tc>
      </w:tr>
      <w:tr>
        <w:trPr>
          <w:trHeight w:val="243"/>
        </w:trPr>
        <w:tc>
          <w:tcPr>
            <w:tcW w:w="5660" w:type="dxa"/>
            <w:vAlign w:val="bottom"/>
          </w:tcPr>
          <w:p>
            <w:pPr>
              <w:ind w:left="380"/>
              <w:spacing w:after="0"/>
              <w:rPr>
                <w:sz w:val="20"/>
                <w:szCs w:val="20"/>
                <w:color w:val="auto"/>
              </w:rPr>
            </w:pPr>
            <w:r>
              <w:rPr>
                <w:rFonts w:ascii="Arial" w:cs="Arial" w:eastAsia="Arial" w:hAnsi="Arial"/>
                <w:sz w:val="18"/>
                <w:szCs w:val="18"/>
                <w:color w:val="auto"/>
              </w:rPr>
              <w:t>Dilutive effect of convertible notes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stock-based awards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39,934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40,947</w:t>
            </w:r>
          </w:p>
        </w:tc>
      </w:tr>
      <w:tr>
        <w:trPr>
          <w:trHeight w:val="27"/>
        </w:trPr>
        <w:tc>
          <w:tcPr>
            <w:tcW w:w="5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5660" w:type="dxa"/>
            <w:vAlign w:val="bottom"/>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5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0"/>
        </w:trPr>
        <w:tc>
          <w:tcPr>
            <w:tcW w:w="5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the repayment/redemption of our convertible notes, which was completed during the third quarter of 2011, we were required to settle the principal amount of the convertible notes in cash and could elect to settle the remaining conversion obligation (stock price in excess of conversion price) in cash, shares, or a combination thereof. During the periods in which the convertible notes were outstanding, we included in the EPS calculation the amount of shares it would have taken to satisfy the conversion obligation, assuming that all of the convertible notes were converted. The average quarterly closing prices of our common stock were used as the basis for determining the dilutive effect on EPS. The quarterly average closing prices of our common stock for the first three fiscal quarters of 2011 did not exceed the conversion price of $65.16 and, therefore, did not have an effect on diluted shares outstanding for the year. During two fiscal quarters in the year ended December 31, 2010, the average closing prices of our common stock exceeded the conversion price of $65.16 and, therefore, 103,000 shares were included in the diluted EPS calculation for that year.</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 for 2011 there was no dilutive effect to the weighted average common shares outstanding for that year. Approximately 1.1 million, 1.3 million, and 456,000 stock-based awards were excluded from the calculation of diluted EPS for the years ended December 31, 2012, 2011, and 2010 respectively, because they were anti-dilutive. These stock-based awards could be dilutive in future periods.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sold or outstanding at December 31, 2012, 2011, and 2010.</w:t>
      </w:r>
    </w:p>
    <w:p>
      <w:pPr>
        <w:spacing w:after="0" w:line="24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2012</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2011</w:t>
            </w: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4"/>
          </w:tcPr>
          <w:p>
            <w:pPr>
              <w:jc w:val="right"/>
              <w:ind w:right="16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 receivables (net of allowance of $7,372 and $6,049)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328,845</w:t>
            </w:r>
          </w:p>
        </w:tc>
      </w:tr>
      <w:tr>
        <w:trPr>
          <w:trHeight w:val="243"/>
        </w:trPr>
        <w:tc>
          <w:tcPr>
            <w:tcW w:w="6040" w:type="dxa"/>
            <w:vAlign w:val="bottom"/>
          </w:tcPr>
          <w:p>
            <w:pPr>
              <w:ind w:left="36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45,974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42,796</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371,641</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2012 and 2011, $20.0 million and $2.5 million were recorded within trade receivables as billed but not yet paid by customers in accordance with contract retainage provisions. At December 31, 2012 and December 31, 2011, contract retainage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that were unbilled and classified as unbilled receivables were $11.1 million and $7.4 million. These contract retainage amounts within trade receivables and unbilled receivables are expected to be collected within the following 12 months.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no long-term unbilled receivables or long-term retainage contracts at December 31, 2012 as we expect to bill and collect all contract retainage receivables within the following 12 months. At December 31, 2011, long-term unbilled receivables and long-term retainage contract receivables totaled $31.5 million.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520" w:type="dxa"/>
            <w:vAlign w:val="bottom"/>
          </w:tcPr>
          <w:p>
            <w:pPr>
              <w:spacing w:after="0"/>
              <w:rPr>
                <w:sz w:val="20"/>
                <w:szCs w:val="20"/>
                <w:color w:val="auto"/>
              </w:rPr>
            </w:pPr>
          </w:p>
        </w:tc>
        <w:tc>
          <w:tcPr>
            <w:tcW w:w="400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60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2012</w:t>
            </w:r>
          </w:p>
        </w:tc>
        <w:tc>
          <w:tcPr>
            <w:tcW w:w="780" w:type="dxa"/>
            <w:vAlign w:val="bottom"/>
          </w:tcPr>
          <w:p>
            <w:pPr>
              <w:spacing w:after="0"/>
              <w:rPr>
                <w:sz w:val="20"/>
                <w:szCs w:val="20"/>
                <w:color w:val="auto"/>
              </w:rPr>
            </w:pPr>
          </w:p>
        </w:tc>
        <w:tc>
          <w:tcPr>
            <w:tcW w:w="1480" w:type="dxa"/>
            <w:vAlign w:val="bottom"/>
          </w:tcPr>
          <w:p>
            <w:pPr>
              <w:jc w:val="right"/>
              <w:ind w:right="830"/>
              <w:spacing w:after="0"/>
              <w:rPr>
                <w:sz w:val="20"/>
                <w:szCs w:val="20"/>
                <w:color w:val="auto"/>
              </w:rPr>
            </w:pPr>
            <w:r>
              <w:rPr>
                <w:rFonts w:ascii="Arial" w:cs="Arial" w:eastAsia="Arial" w:hAnsi="Arial"/>
                <w:sz w:val="18"/>
                <w:szCs w:val="18"/>
                <w:b w:val="1"/>
                <w:bCs w:val="1"/>
                <w:color w:val="auto"/>
              </w:rPr>
              <w:t>2011</w:t>
            </w:r>
          </w:p>
        </w:tc>
      </w:tr>
      <w:tr>
        <w:trPr>
          <w:trHeight w:val="27"/>
        </w:trPr>
        <w:tc>
          <w:tcPr>
            <w:tcW w:w="60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48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6,049</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9,045</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Provision (release) of doubtful accounts, net</w:t>
            </w:r>
          </w:p>
        </w:tc>
        <w:tc>
          <w:tcPr>
            <w:tcW w:w="52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1,851</w:t>
            </w:r>
          </w:p>
        </w:tc>
        <w:tc>
          <w:tcPr>
            <w:tcW w:w="7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6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written-off</w:t>
            </w:r>
          </w:p>
        </w:tc>
        <w:tc>
          <w:tcPr>
            <w:tcW w:w="5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Effects of change in exchange rates</w:t>
            </w:r>
          </w:p>
        </w:tc>
        <w:tc>
          <w:tcPr>
            <w:tcW w:w="52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7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60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7,372</w:t>
            </w:r>
          </w:p>
        </w:tc>
        <w:tc>
          <w:tcPr>
            <w:tcW w:w="7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w:t>
            </w:r>
          </w:p>
        </w:tc>
      </w:tr>
      <w:tr>
        <w:trPr>
          <w:trHeight w:val="20"/>
        </w:trPr>
        <w:tc>
          <w:tcPr>
            <w:tcW w:w="6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2012</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2011</w:t>
            </w: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4"/>
          </w:tcPr>
          <w:p>
            <w:pPr>
              <w:jc w:val="right"/>
              <w:ind w:right="16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112,470</w:t>
            </w:r>
          </w:p>
        </w:tc>
      </w:tr>
      <w:tr>
        <w:trPr>
          <w:trHeight w:val="243"/>
        </w:trPr>
        <w:tc>
          <w:tcPr>
            <w:tcW w:w="6040" w:type="dxa"/>
            <w:vAlign w:val="bottom"/>
          </w:tcPr>
          <w:p>
            <w:pPr>
              <w:ind w:left="36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16,306</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67,061</w:t>
            </w:r>
          </w:p>
        </w:tc>
      </w:tr>
      <w:tr>
        <w:trPr>
          <w:trHeight w:val="257"/>
        </w:trPr>
        <w:tc>
          <w:tcPr>
            <w:tcW w:w="6040" w:type="dxa"/>
            <w:vAlign w:val="bottom"/>
          </w:tcPr>
          <w:p>
            <w:pPr>
              <w:ind w:left="72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170,719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195,837</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inventory levels may vary period to period as a result of our factory scheduling and the timing of contract fulfillments, which may include the buildup of finished goods for shipment.</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Consigned inventory is held at third-party locations; however, we retain title to the inventory until purchased by the third-party. Consigned inventory, consisting of raw materials and finished goods, was $5.0 million and $7.4 million at December 31, 2012 and December 31, 2011, respectively.</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2012</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2011</w:t>
            </w: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4"/>
          </w:tcPr>
          <w:p>
            <w:pPr>
              <w:jc w:val="right"/>
              <w:ind w:right="16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269,611</w:t>
            </w:r>
          </w:p>
        </w:tc>
      </w:tr>
      <w:tr>
        <w:trPr>
          <w:trHeight w:val="243"/>
        </w:trPr>
        <w:tc>
          <w:tcPr>
            <w:tcW w:w="6040" w:type="dxa"/>
            <w:vAlign w:val="bottom"/>
          </w:tcPr>
          <w:p>
            <w:pPr>
              <w:ind w:left="360"/>
              <w:spacing w:after="0"/>
              <w:rPr>
                <w:sz w:val="20"/>
                <w:szCs w:val="20"/>
                <w:color w:val="auto"/>
              </w:rPr>
            </w:pPr>
            <w:r>
              <w:rPr>
                <w:rFonts w:ascii="Arial" w:cs="Arial" w:eastAsia="Arial" w:hAnsi="Arial"/>
                <w:sz w:val="18"/>
                <w:szCs w:val="18"/>
                <w:color w:val="auto"/>
              </w:rPr>
              <w:t>Computers and software</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84,980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74,885</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Buildings, furniture, and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140,064</w:t>
            </w:r>
          </w:p>
        </w:tc>
      </w:tr>
      <w:tr>
        <w:trPr>
          <w:trHeight w:val="243"/>
        </w:trPr>
        <w:tc>
          <w:tcPr>
            <w:tcW w:w="6040" w:type="dxa"/>
            <w:vAlign w:val="bottom"/>
          </w:tcPr>
          <w:p>
            <w:pPr>
              <w:ind w:left="360"/>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25,318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26,126</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Construction in progress, including purchased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20,687</w:t>
            </w:r>
          </w:p>
        </w:tc>
      </w:tr>
      <w:tr>
        <w:trPr>
          <w:trHeight w:val="237"/>
        </w:trPr>
        <w:tc>
          <w:tcPr>
            <w:tcW w:w="6040" w:type="dxa"/>
            <w:vAlign w:val="bottom"/>
          </w:tcPr>
          <w:p>
            <w:pPr>
              <w:ind w:left="720"/>
              <w:spacing w:after="0"/>
              <w:rPr>
                <w:sz w:val="20"/>
                <w:szCs w:val="20"/>
                <w:color w:val="auto"/>
              </w:rPr>
            </w:pPr>
            <w:r>
              <w:rPr>
                <w:rFonts w:ascii="Arial" w:cs="Arial" w:eastAsia="Arial" w:hAnsi="Arial"/>
                <w:sz w:val="18"/>
                <w:szCs w:val="18"/>
                <w:color w:val="auto"/>
              </w:rPr>
              <w:t>Total cost</w:t>
            </w:r>
          </w:p>
        </w:tc>
        <w:tc>
          <w:tcPr>
            <w:tcW w:w="2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570,377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531,373</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(268,703)</w:t>
            </w:r>
          </w:p>
        </w:tc>
      </w:tr>
      <w:tr>
        <w:trPr>
          <w:trHeight w:val="257"/>
        </w:trPr>
        <w:tc>
          <w:tcPr>
            <w:tcW w:w="6040" w:type="dxa"/>
            <w:vAlign w:val="bottom"/>
          </w:tcPr>
          <w:p>
            <w:pPr>
              <w:ind w:left="11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255,212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262,670</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i w:val="1"/>
                <w:iCs w:val="1"/>
                <w:color w:val="auto"/>
              </w:rPr>
              <w:t>Depreciation expense</w:t>
            </w: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3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2011</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2010</w:t>
            </w:r>
          </w:p>
        </w:tc>
      </w:tr>
      <w:tr>
        <w:trPr>
          <w:trHeight w:val="27"/>
        </w:trPr>
        <w:tc>
          <w:tcPr>
            <w:tcW w:w="3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338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61,661</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66,072</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62,154</w:t>
            </w:r>
          </w:p>
        </w:tc>
      </w:tr>
      <w:tr>
        <w:trPr>
          <w:trHeight w:val="459"/>
        </w:trPr>
        <w:tc>
          <w:tcPr>
            <w:tcW w:w="3760" w:type="dxa"/>
            <w:vAlign w:val="bottom"/>
          </w:tcPr>
          <w:p>
            <w:pPr>
              <w:spacing w:after="0"/>
              <w:rPr>
                <w:sz w:val="24"/>
                <w:szCs w:val="24"/>
                <w:color w:val="auto"/>
              </w:rPr>
            </w:pPr>
          </w:p>
        </w:tc>
        <w:tc>
          <w:tcPr>
            <w:tcW w:w="230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2012</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2011</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87"/>
              </w:rPr>
              <w:t>Gross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407,024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(332,763)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387,606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82,321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292,252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(154,890)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137,362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278,581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(131,418)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147,163</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11,153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368</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3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 subject to</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783,140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(563,769)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749,194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(509,694)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239,500</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802,540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(563,769)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238,771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749,194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(509,694)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239,500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940" w:type="dxa"/>
            <w:vAlign w:val="bottom"/>
            <w:gridSpan w:val="4"/>
          </w:tcPr>
          <w:p>
            <w:pPr>
              <w:jc w:val="right"/>
              <w:ind w:right="136"/>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3"/>
          </w:tcPr>
          <w:p>
            <w:pPr>
              <w:jc w:val="right"/>
              <w:ind w:right="556"/>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10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749,194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759,152</w:t>
            </w:r>
          </w:p>
        </w:tc>
      </w:tr>
      <w:tr>
        <w:trPr>
          <w:trHeight w:val="237"/>
        </w:trPr>
        <w:tc>
          <w:tcPr>
            <w:tcW w:w="608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43,400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12,797</w:t>
            </w:r>
          </w:p>
        </w:tc>
      </w:tr>
      <w:tr>
        <w:trPr>
          <w:trHeight w:val="33"/>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 transferred to held for sale</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(4,964)</w:t>
            </w:r>
          </w:p>
        </w:tc>
      </w:tr>
      <w:tr>
        <w:trPr>
          <w:trHeight w:val="237"/>
        </w:trPr>
        <w:tc>
          <w:tcPr>
            <w:tcW w:w="6080" w:type="dxa"/>
            <w:vAlign w:val="bottom"/>
          </w:tcPr>
          <w:p>
            <w:pPr>
              <w:ind w:left="380"/>
              <w:spacing w:after="0"/>
              <w:rPr>
                <w:sz w:val="20"/>
                <w:szCs w:val="20"/>
                <w:color w:val="auto"/>
              </w:rPr>
            </w:pPr>
            <w:r>
              <w:rPr>
                <w:rFonts w:ascii="Arial" w:cs="Arial" w:eastAsia="Arial" w:hAnsi="Arial"/>
                <w:sz w:val="16"/>
                <w:szCs w:val="16"/>
                <w:color w:val="auto"/>
              </w:rPr>
              <w:t>Assets no longer in use written-off</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(8,450)</w:t>
            </w:r>
          </w:p>
        </w:tc>
      </w:tr>
      <w:tr>
        <w:trPr>
          <w:trHeight w:val="33"/>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10,046</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(9,341)</w:t>
            </w:r>
          </w:p>
        </w:tc>
      </w:tr>
      <w:tr>
        <w:trPr>
          <w:trHeight w:val="244"/>
        </w:trPr>
        <w:tc>
          <w:tcPr>
            <w:tcW w:w="608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100" w:type="dxa"/>
            <w:vAlign w:val="bottom"/>
            <w:tcBorders>
              <w:top w:val="single" w:sz="8" w:color="auto"/>
              <w:bottom w:val="single" w:sz="8" w:color="auto"/>
            </w:tcBorders>
          </w:tcPr>
          <w:p>
            <w:pPr>
              <w:jc w:val="right"/>
              <w:ind w:right="897"/>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802,540</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749,194</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acquired in 2012 are based on the preliminary purchase price allocation relating to our acquisition of SmartSynch on May 1, 2012. SmartSynch's intangible assets include IPR&amp;D, which is not amortized until such time as the associated development projects are completed. These projects are expected to be completed in the next six months. Refer to Note 17 for additional information regarding this acquisition.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held for sale are classified within other current assets, are reported at the lower of carrying value or fair value less costs to sell, and are no longer amortized. As of December 31, 2011, due to the expected sale of certain operations of the Water operating segment , the net carrying value of intangible assets totaling $2.6 million was transferred from intangible assets to other current assets. These assets were disposed of during 2012. Refer to Note 13 for additional disclosure on held for sale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2012 and 2011, certain assets that had been fully amortized and were no longer in use were removed from our asset ledger.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Estimated Annual</w:t>
            </w: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Amortization</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42,526</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38,099</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31,122</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24,615</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18,206</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Beyond 2017</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64,803</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219,371</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December 31, 2012 and 2011: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Energy</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Water</w:t>
            </w:r>
          </w:p>
        </w:tc>
        <w:tc>
          <w:tcPr>
            <w:tcW w:w="320" w:type="dxa"/>
            <w:vAlign w:val="bottom"/>
          </w:tcPr>
          <w:p>
            <w:pPr>
              <w:spacing w:after="0"/>
              <w:rPr>
                <w:sz w:val="20"/>
                <w:szCs w:val="20"/>
                <w:color w:val="auto"/>
              </w:rPr>
            </w:pPr>
          </w:p>
        </w:tc>
        <w:tc>
          <w:tcPr>
            <w:tcW w:w="19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 Company</w:t>
            </w:r>
          </w:p>
        </w:tc>
      </w:tr>
      <w:tr>
        <w:trPr>
          <w:trHeight w:val="27"/>
        </w:trPr>
        <w:tc>
          <w:tcPr>
            <w:tcW w:w="43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balance at January 1, 2011</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1,209,376</w:t>
            </w: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Goodwill acquired</w:t>
            </w: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10,251</w:t>
            </w:r>
          </w:p>
        </w:tc>
      </w:tr>
      <w:tr>
        <w:trPr>
          <w:trHeight w:val="27"/>
        </w:trPr>
        <w:tc>
          <w:tcPr>
            <w:tcW w:w="4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(254,735)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(584,847)</w:t>
            </w: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(6,739)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(7,720)</w:t>
            </w:r>
          </w:p>
        </w:tc>
      </w:tr>
      <w:tr>
        <w:trPr>
          <w:trHeight w:val="27"/>
        </w:trPr>
        <w:tc>
          <w:tcPr>
            <w:tcW w:w="4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1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9,850</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Goodwill balance at December 31, 2011</w:t>
            </w:r>
          </w:p>
        </w:tc>
        <w:tc>
          <w:tcPr>
            <w:tcW w:w="1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553,866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83,044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636,910</w:t>
            </w:r>
          </w:p>
        </w:tc>
      </w:tr>
      <w:tr>
        <w:trPr>
          <w:trHeight w:val="27"/>
        </w:trPr>
        <w:tc>
          <w:tcPr>
            <w:tcW w:w="4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Goodwill acquired</w:t>
            </w: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46,101</w:t>
            </w:r>
          </w:p>
        </w:tc>
      </w:tr>
      <w:tr>
        <w:trPr>
          <w:trHeight w:val="27"/>
        </w:trPr>
        <w:tc>
          <w:tcPr>
            <w:tcW w:w="4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4,767</w:t>
            </w: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Effect of change in exchange rates</w:t>
            </w: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7,247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13,238</w:t>
            </w:r>
          </w:p>
        </w:tc>
      </w:tr>
      <w:tr>
        <w:trPr>
          <w:trHeight w:val="27"/>
        </w:trPr>
        <w:tc>
          <w:tcPr>
            <w:tcW w:w="4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84"/>
        </w:trPr>
        <w:tc>
          <w:tcPr>
            <w:tcW w:w="4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1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before impairment</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1,273,848</w:t>
            </w: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Accumulated impairment loss</w:t>
            </w: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(249,502)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(323,330)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(572,832)</w:t>
            </w:r>
          </w:p>
        </w:tc>
      </w:tr>
      <w:tr>
        <w:trPr>
          <w:trHeight w:val="27"/>
        </w:trPr>
        <w:tc>
          <w:tcPr>
            <w:tcW w:w="4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Goodwill, net</w:t>
            </w:r>
          </w:p>
        </w:tc>
        <w:tc>
          <w:tcPr>
            <w:tcW w:w="148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609,952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701,016</w:t>
            </w:r>
          </w:p>
        </w:tc>
      </w:tr>
      <w:tr>
        <w:trPr>
          <w:trHeight w:val="20"/>
        </w:trPr>
        <w:tc>
          <w:tcPr>
            <w:tcW w:w="4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acquired in 2012 is based on the preliminary purchase price allocation relating to the SmartSynch acquisition on May 1, 2012. Refer to Note 17 for additional information regarding this acquisition.</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preceding table, "Other" includes activities associated with our restructuring announced in the fourth quarter of 2011. During the third quarter of 2012, we identified an error in our consolidated financial statements for the year ended December 31, 2011, which resulted in an overstatement of restructuring expense related to the expected sale of a non-core business. The identified assets to be disposed originally included $6.7 million of goodwill, which was impaired and charged to restructuring expense as a result of the expected sale proceeds being less than the carrying value of the identified assets. During the third quarter of 2012, we determined the amount of goodwill that should have been allocated to the asset disposal group was $1.3 million. In accordance with the relevant guidance, management evaluated the materiality of the error from a qualitative and quantitative perspective. Based on such evaluation, we concluded that correcting the goodwill allocated to this business asset group is not material, quantitatively or qualitatively, to our results of operations for the results of operations for the year ended December 31, 2012 and would not have had a material impact on our results for the year ended December 31, 2011. Accordingly, we recorded a non-cash adjustment during the third quarter of 2012 to reduce restructuring expense and increase goodwill by $5.4 million. Refer to Note 13 for additional disclosure on Itron's restructuring costs. Additionally, in the third quarter, we sold a non-core business in Europe to which we allocated $675,000 of goodwill, which was recognized as restructuring expense. For the year ended December 31, 2011, "Other" includes goodwill reductions related to assets identified as held for sale as of December 31, 2011, including the $5.4 million error as discussed above.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a significant decline in the price of our shares of common stock at the end of September 2011, our aggregate market value was significantly lower than the aggregate carrying value of our net assets. As a result, we performed an impairment test of our goodwill as of September 30, 2011, and recorded total goodwill impairment charges of $584.8 million in the year ended December 31, 2011. These goodwill impairment charges were associated with our previous reporting units of Itron International Electricity and Itron International Water. The accumulated impairment losses were reallocated to our new operating segments, Energy and Water, effective January 1, 2012.</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accumulated impairment losses associated with our international subsidiaries are recorded in their respective functional currencies; therefore, the carrying amounts of these balances increase or decrease, with a corresponding change in accumulated OCI, due to changes in foreign currency exchange rates.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Note 6:  Debt</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The components of our borrowings are as follows: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86"/>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2012</w:t>
            </w:r>
          </w:p>
        </w:tc>
        <w:tc>
          <w:tcPr>
            <w:tcW w:w="260" w:type="dxa"/>
            <w:vAlign w:val="bottom"/>
          </w:tcPr>
          <w:p>
            <w:pPr>
              <w:spacing w:after="0"/>
              <w:rPr>
                <w:sz w:val="24"/>
                <w:szCs w:val="24"/>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December 31, 2011</w:t>
            </w:r>
          </w:p>
        </w:tc>
      </w:tr>
      <w:tr>
        <w:trPr>
          <w:trHeight w:val="27"/>
        </w:trPr>
        <w:tc>
          <w:tcPr>
            <w:tcW w:w="4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gridSpan w:val="4"/>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gridSpan w:val="4"/>
          </w:tcPr>
          <w:p>
            <w:pPr>
              <w:jc w:val="right"/>
              <w:ind w:right="167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4380" w:type="dxa"/>
            <w:vAlign w:val="bottom"/>
          </w:tcPr>
          <w:p>
            <w:pPr>
              <w:ind w:left="520"/>
              <w:spacing w:after="0"/>
              <w:rPr>
                <w:sz w:val="20"/>
                <w:szCs w:val="20"/>
                <w:color w:val="auto"/>
              </w:rPr>
            </w:pPr>
            <w:r>
              <w:rPr>
                <w:rFonts w:ascii="Arial" w:cs="Arial" w:eastAsia="Arial" w:hAnsi="Arial"/>
                <w:sz w:val="18"/>
                <w:szCs w:val="18"/>
                <w:color w:val="auto"/>
              </w:rPr>
              <w:t>Credit Facilities</w:t>
            </w:r>
          </w:p>
        </w:tc>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USD denominated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292,502</w:t>
            </w: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Multicurrency revolving line of credit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160,000</w:t>
            </w:r>
          </w:p>
        </w:tc>
      </w:tr>
      <w:tr>
        <w:trPr>
          <w:trHeight w:val="27"/>
        </w:trPr>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452,502</w:t>
            </w:r>
          </w:p>
        </w:tc>
      </w:tr>
      <w:tr>
        <w:trPr>
          <w:trHeight w:val="243"/>
        </w:trPr>
        <w:tc>
          <w:tcPr>
            <w:tcW w:w="4380" w:type="dxa"/>
            <w:vAlign w:val="bottom"/>
          </w:tcPr>
          <w:p>
            <w:pPr>
              <w:ind w:left="600"/>
              <w:spacing w:after="0"/>
              <w:rPr>
                <w:sz w:val="20"/>
                <w:szCs w:val="20"/>
                <w:color w:val="auto"/>
              </w:rPr>
            </w:pPr>
            <w:r>
              <w:rPr>
                <w:rFonts w:ascii="Arial" w:cs="Arial" w:eastAsia="Arial" w:hAnsi="Arial"/>
                <w:sz w:val="18"/>
                <w:szCs w:val="18"/>
                <w:color w:val="auto"/>
              </w:rPr>
              <w:t>Less: Current portion of debt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
        </w:trPr>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437,502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August 2011, we entered into a senior secured credit facility (2011 credit facility), which replaced the senior secured credit facility we entered into in 2007 (2007 credit facility). The 2011 credit facility consists of a $300 million U.S. dollar term loan (the term loan) and a multicurrency revolving line of credit (the revolver) with a principal amount of up to $660 million, which was increased from $500 million in April 2012. Both the term loan and the revolver mature on August 8, 2016, and amounts borrowed under the revolver are classified as long-term. Amounts borrowed under the revolver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0.20% to 0.40% per annum depending on our total leverage ratio as of the most recently ended fiscal quarter. Amounts repaid on the term loan may not be reborrowed. The 2011 credit facility permits us and certain of our foreign subsidiaries to borrow in U.S. dollars, euros, British pounds, or, with lender approval, other currencies readily convertible into U.S. dollars. All obligations under the 2011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2011 credit facility, are guaranteed by the foreign subsidiary and by its direct and indirect foreign parents. The 2011 credit facility includes debt covenants, which contain certain financial ratios and place certain restrictions on the incurrence of debt, investments, and the issuance of dividends. We were in compliance with the debt covenants under the 2011 credit facility at December 31,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amounts of $3.8 million through June 2013, $5.6 million from September 2013 through June 2014, $7.5 million from September 2014 through June 2016, and the remainder due at maturity on August 8, 2016. The term loan may be repaid early in whole or in part, subject to certain minimum thresholds, without penalty.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Required minimum principal payments on our outstanding credit facilities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Minimum Payments</w:t>
            </w:r>
          </w:p>
        </w:tc>
      </w:tr>
      <w:tr>
        <w:trPr>
          <w:trHeight w:val="27"/>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(in thousands)</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26,250</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342,500</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00" w:type="dxa"/>
            <w:vAlign w:val="bottom"/>
          </w:tcPr>
          <w:p>
            <w:pPr>
              <w:ind w:left="40"/>
              <w:spacing w:after="0"/>
              <w:rPr>
                <w:sz w:val="20"/>
                <w:szCs w:val="20"/>
                <w:color w:val="auto"/>
              </w:rPr>
            </w:pPr>
            <w:r>
              <w:rPr>
                <w:rFonts w:ascii="Arial" w:cs="Arial" w:eastAsia="Arial" w:hAnsi="Arial"/>
                <w:sz w:val="18"/>
                <w:szCs w:val="18"/>
                <w:color w:val="auto"/>
              </w:rPr>
              <w:t>Total minimum payments on debt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417,500</w:t>
            </w:r>
          </w:p>
        </w:tc>
      </w:tr>
      <w:tr>
        <w:trPr>
          <w:trHeight w:val="20"/>
        </w:trPr>
        <w:tc>
          <w:tcPr>
            <w:tcW w:w="3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2011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plus an applicable margin, or (2) the Alternate Base Rate, plus an applicable margin. The Alternate Base Rate election is equal to the greatest of three rates: (i) the prime rate, (ii) the Federal Reserve effective rate plus 1/2 of 1%, or (iii) one month LIBOR plus 1%. At December 31, 2012, the interest rate for both the term loan and the revolver was 1.47% (the LIBOR rate plus a margin of 1.25%).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Total credit facility repayments were as follows: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5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88"/>
              </w:rPr>
              <w:t>Year Ended December 31,</w:t>
            </w:r>
          </w:p>
        </w:tc>
        <w:tc>
          <w:tcPr>
            <w:tcW w:w="1200" w:type="dxa"/>
            <w:vAlign w:val="bottom"/>
          </w:tcPr>
          <w:p>
            <w:pPr>
              <w:spacing w:after="0"/>
              <w:rPr>
                <w:sz w:val="24"/>
                <w:szCs w:val="24"/>
                <w:color w:val="auto"/>
              </w:rPr>
            </w:pPr>
          </w:p>
        </w:tc>
      </w:tr>
      <w:tr>
        <w:trPr>
          <w:trHeight w:val="27"/>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2010</w:t>
            </w:r>
          </w:p>
        </w:tc>
      </w:tr>
      <w:tr>
        <w:trPr>
          <w:trHeight w:val="27"/>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 credit facility term loan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tcPr>
          <w:p>
            <w:pPr>
              <w:ind w:left="40"/>
              <w:spacing w:after="0" w:line="270" w:lineRule="exact"/>
              <w:rPr>
                <w:sz w:val="20"/>
                <w:szCs w:val="20"/>
                <w:color w:val="auto"/>
              </w:rPr>
            </w:pPr>
            <w:r>
              <w:rPr>
                <w:rFonts w:ascii="Arial" w:cs="Arial" w:eastAsia="Arial" w:hAnsi="Arial"/>
                <w:sz w:val="18"/>
                <w:szCs w:val="18"/>
                <w:color w:val="auto"/>
              </w:rPr>
              <w:t>2011 credit facility multicurrency revolving line of credit</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2007 credit facility term loans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406,950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155,163</w:t>
            </w:r>
          </w:p>
        </w:tc>
      </w:tr>
      <w:tr>
        <w:trPr>
          <w:trHeight w:val="270"/>
        </w:trPr>
        <w:tc>
          <w:tcPr>
            <w:tcW w:w="55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2007 credit facility revolving line of credit</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170,000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credit facility repayments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115,002</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624,450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155,163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We borrowed $80.0 million under the multicurrency revolving line of credit during 2012.</w:t>
      </w:r>
    </w:p>
    <w:p>
      <w:pPr>
        <w:spacing w:after="0" w:line="190"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See repayment of the convertible senior subordinated notes below.</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2012, $140 million was outstanding under the 2011 credit facility revolver, and $54.3 million was utilized by outstanding standby letters of credit, resulting in $465.7 million available for additional borrowings.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repayment of the 2007 credit facility in August 2011, unamortized prepaid debt fees of $2.4 million were written-off to interest expense. Prepaid debt fees of approximately $6.6 million were capitalized in the third quarter of 2011 associated with the 2011 credit facility, and $897,000 were capitalized in the second quarter of 2012 associated with the increase in the revolver in April 2012. At December 31, 2012 and 2011, unamortized prepaid debt fees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ind w:left="80"/>
              <w:spacing w:after="0"/>
              <w:rPr>
                <w:sz w:val="20"/>
                <w:szCs w:val="20"/>
                <w:color w:val="auto"/>
              </w:rPr>
            </w:pPr>
            <w:r>
              <w:rPr>
                <w:rFonts w:ascii="Arial" w:cs="Arial" w:eastAsia="Arial" w:hAnsi="Arial"/>
                <w:sz w:val="18"/>
                <w:szCs w:val="18"/>
                <w:b w:val="1"/>
                <w:bCs w:val="1"/>
                <w:color w:val="auto"/>
              </w:rPr>
              <w:t>December 31, 2012</w:t>
            </w:r>
          </w:p>
        </w:tc>
        <w:tc>
          <w:tcPr>
            <w:tcW w:w="3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2011</w:t>
            </w:r>
          </w:p>
        </w:tc>
      </w:tr>
      <w:tr>
        <w:trPr>
          <w:trHeight w:val="27"/>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3"/>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3"/>
          </w:tcPr>
          <w:p>
            <w:pPr>
              <w:ind w:left="13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prepaid debt fees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5,367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6,027</w:t>
            </w:r>
          </w:p>
        </w:tc>
      </w:tr>
      <w:tr>
        <w:trPr>
          <w:trHeight w:val="27"/>
        </w:trPr>
        <w:tc>
          <w:tcPr>
            <w:tcW w:w="5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 2011, in accordance with the terms of the convertible senior subordinated notes (convertible notes), we repurchased $184.8 million of the convertible notes at their principal amount plus accrued and unpaid interest. On September 30, 2011, we redeemed the remaining $38.8 million of the convertible notes, plus accrued and unpaid interest.</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convertible notes were separated between the liability and equity components using our estimated non-convertible debt borrowing rate at the time the convertible notes were issued, which was determined to be 7.38%. This rate also reflected the effective interest rate on the liability component for all periods during which the convertible notes were outstanding. The carrying amount of the equity component of $31.8 million is retained as a permanent component of our shareholders' equity, and no gain or loss was recognized upon derecognition of the convertible notes as the fair value of the consideration transferred to the holders equaled the fair value of the liability component.</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on the liability component was fully amortized by the end of the second quarter of 2011. The interest expense relating to both the contractual interest coupon and amortization of the discount on the liability component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r>
      <w:tr>
        <w:trPr>
          <w:trHeight w:val="27"/>
        </w:trPr>
        <w:tc>
          <w:tcPr>
            <w:tcW w:w="5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1120" w:type="dxa"/>
            <w:vAlign w:val="bottom"/>
          </w:tcPr>
          <w:p>
            <w:pPr>
              <w:spacing w:after="0"/>
              <w:rPr>
                <w:sz w:val="21"/>
                <w:szCs w:val="21"/>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10,099</w:t>
            </w:r>
          </w:p>
        </w:tc>
      </w:tr>
      <w:tr>
        <w:trPr>
          <w:trHeight w:val="27"/>
        </w:trPr>
        <w:tc>
          <w:tcPr>
            <w:tcW w:w="5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on convertible notes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14, and Note 15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used at December 31, 2012 included interest rate yield curves (swap rates and futures) and foreign exchange spot and forward rates, all of which are available in an active market. We have utilized the mid-market pricing convention for these inputs at December 31, 2012.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at December 31, 2012 and 2011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Asset Derivatives</w:t>
            </w: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8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Derivatives designated as hedging instruments under ASC 815-20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liability derivatives</w:t>
            </w:r>
          </w:p>
        </w:tc>
        <w:tc>
          <w:tcPr>
            <w:tcW w:w="3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ind w:left="1040"/>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 hedging instruments), net of tax,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instruments at January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 (loss) on derivative instruments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1,909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a nonderivative net investment hedging instrument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Realized (gains) losses reclassified into net income (loss)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2,611</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instruments at December 31,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termination of our net investment hedge in August 2011, the net derivative loss of $14.4 million will remain in accumulated OCI until such time when earnings are impacted by a sale or liquidation of the associated foreign operation.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 base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are effective July 31, 2013 to August 8, 2016. The cash flow hedges are expected to be highly effective in achieving offsetting cash flows attributable to the hedged risk through the term of the hedge. Consequently, effective changes in the fair value of the interest rate swaps are recorded as a component of OCI and will be recognized in earnings when the hedged item affects earnings. The amounts paid or received on the hedges will be recognized as adjustments to interest expense. The amount of net losses expected to be reclassified into earnings in the next 12 months is $629,000. At December 31, 2012, our LIBOR based debt balance was $417.5 million.</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with an original maturity date of December 31, 2012. The objective of this swap was to protect us from increases in the EURIBOR base borrowing rates. The swaps did not protect us from changes to the applicable margin under our credit agreement. Throughout the duration of the hedging relationship, this cash flow hedge was expected to be highly effective in achieving offsetting cash flows attributable to the hedged risk. Consequently, effective changes in the fair value of the interest rate swap were recorded as a component of OCI and were recognized in earnings when the hedged item affected earnings. The amounts paid or received on the hedge were recognized as adjustments to interest expense. In August 2011, we repaid our 2007 credit facility, which included the euro-denominated term loan. In conjunction with the debt repayment, we paid $2.9 million to terminate the related interest rate swap, and the accumulated loss in OCI was reclassified to interest expense.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2010, we entered into two interest rate swaps with one-year terms, which each converted $100 million of our U.S. dollar term loan from a floating LIBOR interest rate to fixed interest rates of 2.11% and 2.15%, respectively. These swaps expired on June 30, 2011 and did not include the additional interest rate margin applicable to our term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years ended December 31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Derivatives in ASC 815-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gridSpan w:val="7"/>
          </w:tcPr>
          <w:p>
            <w:pPr>
              <w:jc w:val="center"/>
              <w:ind w:left="497"/>
              <w:spacing w:after="0"/>
              <w:rPr>
                <w:sz w:val="20"/>
                <w:szCs w:val="20"/>
                <w:color w:val="auto"/>
              </w:rPr>
            </w:pPr>
            <w:r>
              <w:rPr>
                <w:rFonts w:ascii="Arial" w:cs="Arial" w:eastAsia="Arial" w:hAnsi="Arial"/>
                <w:sz w:val="13"/>
                <w:szCs w:val="13"/>
                <w:b w:val="1"/>
                <w:bCs w:val="1"/>
                <w:color w:val="auto"/>
                <w:w w:val="87"/>
              </w:rPr>
              <w:t>Gain (Loss) Reclassified from 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6"/>
          </w:tcPr>
          <w:p>
            <w:pPr>
              <w:jc w:val="center"/>
              <w:ind w:left="717"/>
              <w:spacing w:after="0"/>
              <w:rPr>
                <w:sz w:val="20"/>
                <w:szCs w:val="20"/>
                <w:color w:val="auto"/>
              </w:rPr>
            </w:pPr>
            <w:r>
              <w:rPr>
                <w:rFonts w:ascii="Arial" w:cs="Arial" w:eastAsia="Arial" w:hAnsi="Arial"/>
                <w:sz w:val="13"/>
                <w:szCs w:val="13"/>
                <w:b w:val="1"/>
                <w:bCs w:val="1"/>
                <w:color w:val="auto"/>
                <w:w w:val="87"/>
              </w:rPr>
              <w:t>Gain (Loss) Recognized in Income on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20</w:t>
            </w:r>
          </w:p>
        </w:tc>
        <w:tc>
          <w:tcPr>
            <w:tcW w:w="120" w:type="dxa"/>
            <w:vAlign w:val="bottom"/>
          </w:tcPr>
          <w:p>
            <w:pPr>
              <w:spacing w:after="0"/>
              <w:rPr>
                <w:sz w:val="12"/>
                <w:szCs w:val="12"/>
                <w:color w:val="auto"/>
              </w:rPr>
            </w:pPr>
          </w:p>
        </w:tc>
        <w:tc>
          <w:tcPr>
            <w:tcW w:w="258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87"/>
              </w:rPr>
              <w:t>Amount of Gain (Loss) Recognized</w:t>
            </w:r>
          </w:p>
        </w:tc>
        <w:tc>
          <w:tcPr>
            <w:tcW w:w="120" w:type="dxa"/>
            <w:vAlign w:val="bottom"/>
          </w:tcPr>
          <w:p>
            <w:pPr>
              <w:spacing w:after="0"/>
              <w:rPr>
                <w:sz w:val="12"/>
                <w:szCs w:val="12"/>
                <w:color w:val="auto"/>
              </w:rPr>
            </w:pPr>
          </w:p>
        </w:tc>
        <w:tc>
          <w:tcPr>
            <w:tcW w:w="2760" w:type="dxa"/>
            <w:vAlign w:val="bottom"/>
            <w:gridSpan w:val="6"/>
          </w:tcPr>
          <w:p>
            <w:pPr>
              <w:jc w:val="center"/>
              <w:ind w:left="717"/>
              <w:spacing w:after="0" w:line="144" w:lineRule="exact"/>
              <w:rPr>
                <w:sz w:val="20"/>
                <w:szCs w:val="20"/>
                <w:color w:val="auto"/>
              </w:rPr>
            </w:pPr>
            <w:r>
              <w:rPr>
                <w:rFonts w:ascii="Arial" w:cs="Arial" w:eastAsia="Arial" w:hAnsi="Arial"/>
                <w:sz w:val="13"/>
                <w:szCs w:val="13"/>
                <w:b w:val="1"/>
                <w:bCs w:val="1"/>
                <w:color w:val="auto"/>
                <w:w w:val="90"/>
              </w:rPr>
              <w:t>OCI into Income (Effective Portion)</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00" w:type="dxa"/>
            <w:vAlign w:val="bottom"/>
            <w:gridSpan w:val="5"/>
          </w:tcPr>
          <w:p>
            <w:pPr>
              <w:jc w:val="center"/>
              <w:ind w:right="3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5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680" w:type="dxa"/>
            <w:vAlign w:val="bottom"/>
          </w:tcPr>
          <w:p>
            <w:pPr>
              <w:spacing w:after="0"/>
              <w:rPr>
                <w:sz w:val="2"/>
                <w:szCs w:val="2"/>
                <w:color w:val="auto"/>
              </w:rPr>
            </w:pPr>
          </w:p>
        </w:tc>
        <w:tc>
          <w:tcPr>
            <w:tcW w:w="128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2"/>
              </w:rPr>
              <w:t>in OCI on Derivative</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Hedging Relationships</w:t>
            </w:r>
          </w:p>
        </w:tc>
        <w:tc>
          <w:tcPr>
            <w:tcW w:w="68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(Effective Portion)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Location</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220"/>
              <w:spacing w:after="0"/>
              <w:rPr>
                <w:sz w:val="20"/>
                <w:szCs w:val="20"/>
                <w:color w:val="auto"/>
              </w:rPr>
            </w:pPr>
            <w:r>
              <w:rPr>
                <w:rFonts w:ascii="Arial" w:cs="Arial" w:eastAsia="Arial" w:hAnsi="Arial"/>
                <w:sz w:val="13"/>
                <w:szCs w:val="13"/>
                <w:b w:val="1"/>
                <w:bCs w:val="1"/>
                <w:color w:val="auto"/>
              </w:rPr>
              <w:t>Location</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37"/>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2012</w:t>
            </w: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2011</w:t>
            </w:r>
          </w:p>
        </w:tc>
        <w:tc>
          <w:tcPr>
            <w:tcW w:w="6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2012</w:t>
            </w:r>
          </w:p>
        </w:tc>
        <w:tc>
          <w:tcPr>
            <w:tcW w:w="2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2011</w:t>
            </w:r>
          </w:p>
        </w:tc>
        <w:tc>
          <w:tcPr>
            <w:tcW w:w="2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9"/>
              </w:rPr>
              <w:t>2010</w:t>
            </w: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2012</w:t>
            </w: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2"/>
              </w:rPr>
              <w:t>2011</w:t>
            </w: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249"/>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center"/>
              <w:ind w:right="197"/>
              <w:spacing w:after="0"/>
              <w:rPr>
                <w:sz w:val="20"/>
                <w:szCs w:val="20"/>
                <w:color w:val="auto"/>
              </w:rPr>
            </w:pPr>
            <w:r>
              <w:rPr>
                <w:rFonts w:ascii="Arial" w:cs="Arial" w:eastAsia="Arial" w:hAnsi="Arial"/>
                <w:sz w:val="13"/>
                <w:szCs w:val="13"/>
                <w:b w:val="1"/>
                <w:bCs w:val="1"/>
                <w:color w:val="auto"/>
                <w:w w:val="87"/>
              </w:rPr>
              <w:t>(in thousands)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5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Interest rate</w:t>
            </w: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gridSpan w:val="2"/>
            <w:shd w:val="clear" w:color="auto" w:fill="CCEEFF"/>
          </w:tcPr>
          <w:p>
            <w:pPr>
              <w:ind w:left="720"/>
              <w:spacing w:after="0" w:line="135" w:lineRule="exact"/>
              <w:rPr>
                <w:sz w:val="20"/>
                <w:szCs w:val="20"/>
                <w:color w:val="auto"/>
              </w:rPr>
            </w:pPr>
            <w:r>
              <w:rPr>
                <w:rFonts w:ascii="Arial" w:cs="Arial" w:eastAsia="Arial" w:hAnsi="Arial"/>
                <w:sz w:val="13"/>
                <w:szCs w:val="13"/>
                <w:color w:val="auto"/>
              </w:rPr>
              <w:t>swap</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contracts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(2,725)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(4,200)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(4,542)</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(7,254)</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4"/>
              </w:rPr>
              <w:t>(11,829)</w:t>
            </w:r>
          </w:p>
        </w:tc>
        <w:tc>
          <w:tcPr>
            <w:tcW w:w="1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Interest expense   $</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(201)</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exposed to foreign exchange risk through our international subsidiaries. As a result of our acquisition of an international company in 2007, we entered into a euro denominated term loan, which exposed us to fluctuations in the euro foreign exchange rate. Therefore, we designated this foreign currency denominated term loan as a hedge of our net investment in international operations. The non-functional currency term loan was revalued into U.S. dollars at each balance sheet date, and the changes in value associated with currency fluctuations were recorded as adjustments to long-term debt with offsetting gains and losses recorded in OCI. The loan was repaid in full in August 2011 as part of the repayment of our 2007 credit facility. The net derivative loss will remain in accumulated OCI until such time when earnings are impacted by a sale or liquidation of the associated foreign operation.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before-tax and net of tax effects of our net investment hedge nonderivative financial instrument on OCI for the years ended December 31 are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Nonderivative Financial Instruments in ASC 815-20</w:t>
            </w:r>
          </w:p>
        </w:tc>
        <w:tc>
          <w:tcPr>
            <w:tcW w:w="53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Euro Denominated Term Loan Designated as a Hedge</w:t>
            </w:r>
          </w:p>
        </w:tc>
      </w:tr>
      <w:tr>
        <w:trPr>
          <w:trHeight w:val="210"/>
        </w:trPr>
        <w:tc>
          <w:tcPr>
            <w:tcW w:w="6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Net Investment Hedging Relationships</w:t>
            </w:r>
          </w:p>
        </w:tc>
        <w:tc>
          <w:tcPr>
            <w:tcW w:w="53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3"/>
              </w:rPr>
              <w:t>of Our Net Investment in International Operations</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2011</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2010</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Gain (loss) recognized in OCI on derivative (Effective Portion)</w:t>
            </w: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Before tax</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(14,278)</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25,760</w:t>
            </w:r>
          </w:p>
        </w:tc>
      </w:tr>
      <w:tr>
        <w:trPr>
          <w:trHeight w:val="237"/>
        </w:trPr>
        <w:tc>
          <w:tcPr>
            <w:tcW w:w="6080" w:type="dxa"/>
            <w:vAlign w:val="bottom"/>
            <w:gridSpan w:val="2"/>
          </w:tcPr>
          <w:p>
            <w:pPr>
              <w:ind w:left="180"/>
              <w:spacing w:after="0"/>
              <w:rPr>
                <w:sz w:val="20"/>
                <w:szCs w:val="20"/>
                <w:color w:val="auto"/>
              </w:rPr>
            </w:pPr>
            <w:r>
              <w:rPr>
                <w:rFonts w:ascii="Arial" w:cs="Arial" w:eastAsia="Arial" w:hAnsi="Arial"/>
                <w:sz w:val="16"/>
                <w:szCs w:val="16"/>
                <w:color w:val="auto"/>
              </w:rPr>
              <w:t>Net of tax</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(8,866)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15,825</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560 contracts were entered into during the year ended December 31, 2012), which are not designated for hedge accounting, with the intent to reduce earnings volatility associated with certain of these balances. The notional amounts of the contracts ranged from $120,000 to $51 million, offsetting our exposures from the euro, British pound, Canadian dollar, Australian dollar, Brazilian real, and various other currencies.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years ended December 31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Derivatives Not Designated as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6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Hedging Instrument under ASC 815-20</w:t>
            </w:r>
          </w:p>
        </w:tc>
        <w:tc>
          <w:tcPr>
            <w:tcW w:w="240" w:type="dxa"/>
            <w:vAlign w:val="bottom"/>
          </w:tcPr>
          <w:p>
            <w:pPr>
              <w:spacing w:after="0"/>
              <w:rPr>
                <w:sz w:val="18"/>
                <w:szCs w:val="18"/>
                <w:color w:val="auto"/>
              </w:rPr>
            </w:pPr>
          </w:p>
        </w:tc>
        <w:tc>
          <w:tcPr>
            <w:tcW w:w="510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w w:val="91"/>
              </w:rPr>
              <w:t>Gain (Loss) Recognized on Derivatives in Other Income (Expense)</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20"/>
                <w:szCs w:val="20"/>
                <w:color w:val="auto"/>
              </w:rPr>
            </w:pPr>
          </w:p>
        </w:tc>
        <w:tc>
          <w:tcPr>
            <w:tcW w:w="152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2011</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2010</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(2,022)</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665</w:t>
            </w:r>
          </w:p>
        </w:tc>
      </w:tr>
      <w:tr>
        <w:trPr>
          <w:trHeight w:val="33"/>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offering death and disability, retirement, and special termination benefits. The defined benefit obligation is calculated annually by using the projected unit credit method. The measurement date for the pension plans was December 31, 2012.</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funding policy for these qualified pension plans is to contribute amounts sufficient to satisfy regulatory funding standards of the respective countries for each plan. We contributed $440,000 and $520,000 to the defined benefit pension plans for the years ended December 31, 2012 and 2011, respectively. The timing of when contributions are made can vary by plan and from year to year. For 2013, assuming that actual plan asset returns are consistent with our expected rate of return, and that interest rates remain constant, we expect to contribute approximately $580,000 to our defined benefit pension plans.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benefit obligation, plan assets, funded status of the defined benefit plans, amounts recognized in the Consolidated Balance Sheets and amounts recognized in accumulated other comprehensive income at December 31, 2012 and 2011.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0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20"/>
                <w:szCs w:val="20"/>
                <w:color w:val="auto"/>
              </w:rPr>
            </w:pP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1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January 1,</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72,601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71,388</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3,754</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24,492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Foreign currency exchange rate changes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Benefit obligation at December 31,</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101,766</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72,601</w:t>
            </w:r>
          </w:p>
        </w:tc>
      </w:tr>
      <w:tr>
        <w:trPr>
          <w:trHeight w:val="27"/>
        </w:trPr>
        <w:tc>
          <w:tcPr>
            <w:tcW w:w="6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7"/>
        </w:trPr>
        <w:tc>
          <w:tcPr>
            <w:tcW w:w="68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January 1,</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7,694</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Company contributions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exchange rate changes</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8,561</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7,980</w:t>
            </w:r>
          </w:p>
        </w:tc>
      </w:tr>
      <w:tr>
        <w:trPr>
          <w:trHeight w:val="27"/>
        </w:trPr>
        <w:tc>
          <w:tcPr>
            <w:tcW w:w="6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Ending balance at fair value (net pension plan benefit liability)</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93,205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64,621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discount rate used to measure our benefit obligations, which is based on published bond indexes, decreased by 215 basis points from December 31, 2011 to December 31, 2012, driving a $24.5 million actuarial loss during 2012, which is recognized in OCI. The significant actuarial weighted average assumptions are discussed in greater detail below.</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At 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2011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Assets</w:t>
            </w:r>
          </w:p>
        </w:tc>
        <w:tc>
          <w:tcPr>
            <w:tcW w:w="14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Plan assets in other long-term assets</w:t>
            </w:r>
          </w:p>
        </w:tc>
        <w:tc>
          <w:tcPr>
            <w:tcW w:w="26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84"/>
        </w:trPr>
        <w:tc>
          <w:tcPr>
            <w:tcW w:w="5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w w:val="93"/>
              </w:rPr>
              <w:t>Current portion of pension plan liability in wages and benefits payable</w:t>
            </w: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portion of pension plan liability</w:t>
            </w:r>
          </w:p>
        </w:tc>
        <w:tc>
          <w:tcPr>
            <w:tcW w:w="1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90,533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62,449</w:t>
            </w:r>
          </w:p>
        </w:tc>
        <w:tc>
          <w:tcPr>
            <w:tcW w:w="0" w:type="dxa"/>
            <w:vAlign w:val="bottom"/>
          </w:tcPr>
          <w:p>
            <w:pPr>
              <w:spacing w:after="0"/>
              <w:rPr>
                <w:sz w:val="1"/>
                <w:szCs w:val="1"/>
                <w:color w:val="auto"/>
              </w:rPr>
            </w:pPr>
          </w:p>
        </w:tc>
      </w:tr>
      <w:tr>
        <w:trPr>
          <w:trHeight w:val="297"/>
        </w:trPr>
        <w:tc>
          <w:tcPr>
            <w:tcW w:w="554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pension plan benefit liability</w:t>
            </w:r>
          </w:p>
        </w:tc>
        <w:tc>
          <w:tcPr>
            <w:tcW w:w="26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93,205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Arial" w:cs="Arial" w:eastAsia="Arial" w:hAnsi="Arial"/>
                <w:sz w:val="18"/>
                <w:szCs w:val="18"/>
                <w:color w:val="auto"/>
              </w:rPr>
              <w:t>59</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Amounts in accumulated other comprehensive income (pre-tax) that have not yet been recognized as components of net periodic benefit costs consist of:</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At 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2011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 loss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20,676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prior service cost</w:t>
            </w: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 included in accumulated other comprehensive income</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21,739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Amounts recognized in OCI (pre-tax) are as follows: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gridSpan w:val="6"/>
          </w:tcPr>
          <w:p>
            <w:pPr>
              <w:jc w:val="center"/>
              <w:ind w:left="17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r>
      <w:tr>
        <w:trPr>
          <w:trHeight w:val="27"/>
        </w:trPr>
        <w:tc>
          <w:tcPr>
            <w:tcW w:w="5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 loss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Settlement gain (loss)</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5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 (gain) loss</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net actuarial gain (loss)</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7"/>
        </w:trPr>
        <w:tc>
          <w:tcPr>
            <w:tcW w:w="5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24,358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net actuarial loss and prior service cost that will be amortized from accumulated other comprehensive income into net periodic benefit cost during 2013 is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3,490</w:t>
            </w: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unrecognized prior service costs</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net (gain) loss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Settlements and Other</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5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6,320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pacing w:after="0" w:line="30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At and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34290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ind w:left="5860"/>
              <w:spacing w:after="0"/>
              <w:rPr>
                <w:sz w:val="20"/>
                <w:szCs w:val="20"/>
                <w:color w:val="auto"/>
              </w:rPr>
            </w:pPr>
            <w:r>
              <w:rPr>
                <w:rFonts w:ascii="Arial" w:cs="Arial" w:eastAsia="Arial" w:hAnsi="Arial"/>
                <w:sz w:val="18"/>
                <w:szCs w:val="18"/>
                <w:b w:val="1"/>
                <w:bCs w:val="1"/>
                <w:color w:val="auto"/>
                <w:w w:val="99"/>
              </w:rPr>
              <w:t>2012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40"/>
              <w:spacing w:after="0"/>
              <w:rPr>
                <w:sz w:val="20"/>
                <w:szCs w:val="20"/>
                <w:color w:val="auto"/>
              </w:rPr>
            </w:pPr>
            <w:r>
              <w:rPr>
                <w:rFonts w:ascii="Arial" w:cs="Arial" w:eastAsia="Arial" w:hAnsi="Arial"/>
                <w:sz w:val="18"/>
                <w:szCs w:val="18"/>
                <w:color w:val="auto"/>
                <w:w w:val="94"/>
              </w:rPr>
              <w:t>Actuarial assumptions used to determine benefit obligations at end of</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period: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Discount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Expected annual rate of compensation increase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3.41%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Actuarial assumptions used to determine net periodic benefit cost for</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Discount rate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5.51%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Expected rate of return on plan assets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Expected annual rate of compensation increase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3.38%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 a discount rate for our plans based on the estimated duration of each plan’s liabilities. For our euro denominated defined benefit pension plans, which represent 94% of our benefit obligation, we use three discount rates, with consideration of the duration of the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the highest and lowest yielding 10% of bonds within each maturity group. The discount rates used, depending on the duration of the plans, were 2.75%, 3.25% and 3.50%, respectively. As a result of the 215 basis point decline in the weighted average discount rate used to measure our benefit obligations, the actuarial loss, which is recognized in OCI, was $24.5 million in 2012.</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While the study primarily gives consideration to recent insurers’ performance and historical returns, the assumption represents a long-term prospective return.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accumulated benefit obligation for our defined benefit pension plans was $90.8 million and $65.8 million at December 31,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one plan in which the fair value of plan assets exceeds the plan's accumulated benefit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total obligation and fair value of plan assets for plans with accumulated benefit obligations exceeding the fair value of plan assets are as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5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1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100,357</w:t>
            </w:r>
          </w:p>
        </w:tc>
        <w:tc>
          <w:tcPr>
            <w:tcW w:w="7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66,525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89,687</w:t>
            </w: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60,452</w:t>
            </w:r>
          </w:p>
        </w:tc>
      </w:tr>
      <w:tr>
        <w:trPr>
          <w:trHeight w:val="27"/>
        </w:trPr>
        <w:tc>
          <w:tcPr>
            <w:tcW w:w="5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6,925</w:t>
            </w:r>
          </w:p>
        </w:tc>
        <w:tc>
          <w:tcPr>
            <w:tcW w:w="7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r>
      <w:tr>
        <w:trPr>
          <w:trHeight w:val="27"/>
        </w:trPr>
        <w:tc>
          <w:tcPr>
            <w:tcW w:w="5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as of December 31, 2012, and 2011 are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Quoted Prices in Active</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Markets for Identical</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Significant Unobservable</w:t>
            </w:r>
          </w:p>
        </w:tc>
      </w:tr>
      <w:tr>
        <w:trPr>
          <w:trHeight w:val="216"/>
        </w:trPr>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358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3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0"/>
        </w:trPr>
        <w:tc>
          <w:tcPr>
            <w:tcW w:w="3580" w:type="dxa"/>
            <w:vAlign w:val="bottom"/>
          </w:tcPr>
          <w:p>
            <w:pPr>
              <w:ind w:left="1620"/>
              <w:spacing w:after="0"/>
              <w:rPr>
                <w:sz w:val="20"/>
                <w:szCs w:val="20"/>
                <w:color w:val="auto"/>
              </w:rPr>
            </w:pPr>
            <w:r>
              <w:rPr>
                <w:rFonts w:ascii="Arial" w:cs="Arial" w:eastAsia="Arial" w:hAnsi="Arial"/>
                <w:sz w:val="18"/>
                <w:szCs w:val="18"/>
                <w:b w:val="1"/>
                <w:bCs w:val="1"/>
                <w:color w:val="auto"/>
              </w:rPr>
              <w:t>2012</w:t>
            </w:r>
          </w:p>
        </w:tc>
        <w:tc>
          <w:tcPr>
            <w:tcW w:w="1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7"/>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Insurance funds</w:t>
            </w:r>
          </w:p>
        </w:tc>
        <w:tc>
          <w:tcPr>
            <w:tcW w:w="1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7,658</w:t>
            </w:r>
          </w:p>
        </w:tc>
      </w:tr>
      <w:tr>
        <w:trPr>
          <w:trHeight w:val="27"/>
        </w:trPr>
        <w:tc>
          <w:tcPr>
            <w:tcW w:w="35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fair value of plan assets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3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0"/>
        </w:trPr>
        <w:tc>
          <w:tcPr>
            <w:tcW w:w="35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b w:val="1"/>
                <w:bCs w:val="1"/>
                <w:color w:val="auto"/>
              </w:rPr>
              <w:t>2011</w:t>
            </w:r>
          </w:p>
        </w:tc>
        <w:tc>
          <w:tcPr>
            <w:tcW w:w="1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Cash</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funds</w:t>
            </w:r>
          </w:p>
        </w:tc>
        <w:tc>
          <w:tcPr>
            <w:tcW w:w="1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r>
      <w:tr>
        <w:trPr>
          <w:trHeight w:val="237"/>
        </w:trPr>
        <w:tc>
          <w:tcPr>
            <w:tcW w:w="3580" w:type="dxa"/>
            <w:vAlign w:val="bottom"/>
          </w:tcPr>
          <w:p>
            <w:pPr>
              <w:ind w:left="380"/>
              <w:spacing w:after="0"/>
              <w:rPr>
                <w:sz w:val="20"/>
                <w:szCs w:val="20"/>
                <w:color w:val="auto"/>
              </w:rPr>
            </w:pPr>
            <w:r>
              <w:rPr>
                <w:rFonts w:ascii="Arial" w:cs="Arial" w:eastAsia="Arial" w:hAnsi="Arial"/>
                <w:sz w:val="18"/>
                <w:szCs w:val="18"/>
                <w:color w:val="auto"/>
              </w:rPr>
              <w:t>Total fair value of plan assets</w:t>
            </w: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7,120</w:t>
            </w:r>
          </w:p>
        </w:tc>
      </w:tr>
      <w:tr>
        <w:trPr>
          <w:trHeight w:val="27"/>
        </w:trPr>
        <w:tc>
          <w:tcPr>
            <w:tcW w:w="3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35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are not significant to our total company assets, no further breakdown is provided.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benefit payments, including amounts to be paid from our assets for unfunded plans, and reflecting expected future service, as appropriate, are expected to be paid as follows:</w:t>
      </w: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Annual Benefit</w:t>
            </w:r>
          </w:p>
        </w:tc>
      </w:tr>
      <w:tr>
        <w:trPr>
          <w:trHeight w:val="234"/>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b w:val="1"/>
                <w:bCs w:val="1"/>
                <w:color w:val="auto"/>
              </w:rPr>
              <w:t>Payments</w:t>
            </w:r>
          </w:p>
        </w:tc>
      </w:tr>
      <w:tr>
        <w:trPr>
          <w:trHeight w:val="27"/>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3,895</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4,619</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2018 - 2022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25,894</w:t>
            </w:r>
          </w:p>
        </w:tc>
      </w:tr>
    </w:tbl>
    <w:p>
      <w:pPr>
        <w:spacing w:after="0" w:line="27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vesting requirement period. For the years ended December 31, stock-based compensation expense and the related tax benefit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16,583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14,230</w:t>
            </w:r>
          </w:p>
        </w:tc>
      </w:tr>
      <w:tr>
        <w:trPr>
          <w:trHeight w:val="27"/>
        </w:trPr>
        <w:tc>
          <w:tcPr>
            <w:tcW w:w="4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Unrestricted stock awards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ESPP</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4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19,512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tax benefit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 issuance under our 2010 Stock Incentive Plan (Stock Incentive Plan). Awards consist of stock options, restricted stock units, and unrestricted stock awards. At December 31, 2012, 1,383,780 shares were available for grant under the Stock Incentive Plan.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11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34290</wp:posOffset>
            </wp:positionV>
            <wp:extent cx="3249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ind w:left="4840"/>
              <w:spacing w:after="0"/>
              <w:rPr>
                <w:sz w:val="20"/>
                <w:szCs w:val="20"/>
                <w:color w:val="auto"/>
              </w:rPr>
            </w:pPr>
            <w:r>
              <w:rPr>
                <w:rFonts w:ascii="Arial" w:cs="Arial" w:eastAsia="Arial" w:hAnsi="Arial"/>
                <w:sz w:val="18"/>
                <w:szCs w:val="18"/>
                <w:b w:val="1"/>
                <w:bCs w:val="1"/>
                <w:color w:val="auto"/>
                <w:w w:val="99"/>
              </w:rPr>
              <w:t>2012</w:t>
            </w:r>
          </w:p>
        </w:tc>
        <w:tc>
          <w:tcPr>
            <w:tcW w:w="1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7"/>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0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42.1%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7"/>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4.6</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years ended December 31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 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1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Price per Share</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 xml:space="preserve">Intrinsic Value </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(in thousands)</w:t>
            </w:r>
          </w:p>
        </w:tc>
        <w:tc>
          <w:tcPr>
            <w:tcW w:w="14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2010</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27.18</w:t>
            </w: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8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December 31, 2010</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55.21</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10,883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r>
      <w:tr>
        <w:trPr>
          <w:trHeight w:val="257"/>
        </w:trPr>
        <w:tc>
          <w:tcPr>
            <w:tcW w:w="3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51.12</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21.38</w:t>
            </w: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58.50</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8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December 31, 2011</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1,109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55.97</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r>
      <w:tr>
        <w:trPr>
          <w:trHeight w:val="257"/>
        </w:trPr>
        <w:tc>
          <w:tcPr>
            <w:tcW w:w="3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43.27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16.51</w:t>
            </w: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69.37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December 31, 2012</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3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December 31, 2012</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56.37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97"/>
        </w:trPr>
        <w:tc>
          <w:tcPr>
            <w:tcW w:w="3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r>
      <w:tr>
        <w:trPr>
          <w:trHeight w:val="23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December 31, 2012</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45.49</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0"/>
        </w:trPr>
        <w:tc>
          <w:tcPr>
            <w:tcW w:w="3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right="20" w:hanging="332"/>
        <w:spacing w:after="0" w:line="215"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w:t>
      </w:r>
    </w:p>
    <w:p>
      <w:pPr>
        <w:sectPr>
          <w:pgSz w:w="11900" w:h="16838" w:orient="portrait"/>
          <w:cols w:equalWidth="0" w:num="1">
            <w:col w:w="11420"/>
          </w:cols>
          <w:pgMar w:left="240" w:top="125"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84" w:lineRule="exact"/>
        <w:rPr>
          <w:sz w:val="20"/>
          <w:szCs w:val="20"/>
          <w:color w:val="auto"/>
        </w:rPr>
      </w:pPr>
    </w:p>
    <w:p>
      <w:pPr>
        <w:ind w:left="340"/>
        <w:spacing w:after="0" w:line="363" w:lineRule="auto"/>
        <w:rPr>
          <w:sz w:val="20"/>
          <w:szCs w:val="20"/>
          <w:color w:val="auto"/>
        </w:rPr>
      </w:pPr>
      <w:r>
        <w:rPr>
          <w:rFonts w:ascii="Arial" w:cs="Arial" w:eastAsia="Arial" w:hAnsi="Arial"/>
          <w:sz w:val="16"/>
          <w:szCs w:val="16"/>
          <w:color w:val="auto"/>
        </w:rPr>
        <w:t>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2012, total unrecognized stock-based compensation expense related to nonvested stock options was approximately $3.1 million, which is expected to be recognized over a weighted average period of approximately 2.5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employees and senior management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restricted stock units issued under the Long Term Performance Restricted Stock Unit Award Agreement (Performance Award Agreement) are determined based on the attainment of annual performance goals after the end of the calendar year performance period. During the year, if management determines that it is probable that the targets will be achieved, compensation expense, net of forfeitures, is recognized on a straight-line basis over the annual performance and subsequent vesting period for each separately vesting portion of the award. Performance awards typically vest and are released in three equal installments at the end of each year following attainment of the performance goals.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 During the vesting period, unvested restricted stock units immediately vest at the date of retirement for U.S. participants who retire during that period. For U.S. participants who are or will become retirement eligible during either the annual performance or vesting period, compensation expense is accelerated and recognized over the greater of the performance period (one year) or through the participant’s retirement eligible date. For the 2012 performance awards, no awards became eligible for vesting as a result of minimum performance thresholds for the 2012 performance year not being met.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years ended December 31: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Weighted</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220" w:type="dxa"/>
            <w:vAlign w:val="bottom"/>
          </w:tcPr>
          <w:p>
            <w:pPr>
              <w:jc w:val="center"/>
              <w:ind w:left="339"/>
              <w:spacing w:after="0"/>
              <w:rPr>
                <w:sz w:val="20"/>
                <w:szCs w:val="20"/>
                <w:color w:val="auto"/>
              </w:rPr>
            </w:pPr>
            <w:r>
              <w:rPr>
                <w:rFonts w:ascii="Arial" w:cs="Arial" w:eastAsia="Arial" w:hAnsi="Arial"/>
                <w:sz w:val="16"/>
                <w:szCs w:val="16"/>
                <w:b w:val="1"/>
                <w:bCs w:val="1"/>
                <w:color w:val="auto"/>
                <w:w w:val="94"/>
              </w:rPr>
              <w:t>Number of</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7"/>
              </w:rPr>
              <w:t>Average Grant</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Restricted Stock Units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Date Fair Value</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16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6"/>
                <w:szCs w:val="16"/>
                <w:color w:val="auto"/>
              </w:rPr>
              <w:t>360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62.45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Released</w:t>
            </w:r>
          </w:p>
        </w:tc>
        <w:tc>
          <w:tcPr>
            <w:tcW w:w="420" w:type="dxa"/>
            <w:vAlign w:val="bottom"/>
          </w:tcPr>
          <w:p>
            <w:pPr>
              <w:jc w:val="right"/>
              <w:spacing w:after="0"/>
              <w:rPr>
                <w:sz w:val="20"/>
                <w:szCs w:val="20"/>
                <w:color w:val="auto"/>
              </w:rPr>
            </w:pPr>
            <w:r>
              <w:rPr>
                <w:rFonts w:ascii="Arial" w:cs="Arial" w:eastAsia="Arial" w:hAnsi="Arial"/>
                <w:sz w:val="16"/>
                <w:szCs w:val="16"/>
                <w:color w:val="auto"/>
                <w:w w:val="96"/>
              </w:rPr>
              <w:t>(271)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20,413</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December 31, 2011</w:t>
            </w:r>
          </w:p>
        </w:tc>
        <w:tc>
          <w:tcPr>
            <w:tcW w:w="12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464</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47.21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16,855</w:t>
            </w: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December 31, 2012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December 31, 2012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31,198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7"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These restricted stock units include 61,500 shares for the 2011 awards and 132,980 shares for the 2010 awards under the Performance Award Agreement, which are eligible for vesting at December 31 of each respective year.</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2012, unrecognized compensation expense on restricted stock units was $21.7 million, which is expected to be recognized over a weighted average period of approximately 1.9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grant unrestricted stock awards to our Board of Directors as part of their compensation. Awards are fully vested and expensed when granted. The fair value of unrestricted stock awards is the market close price of our common stock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years ended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unrestricted stock granted</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18,569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r>
      <w:tr>
        <w:trPr>
          <w:trHeight w:val="284"/>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w:t>
            </w:r>
          </w:p>
        </w:tc>
      </w:tr>
      <w:tr>
        <w:trPr>
          <w:trHeight w:val="27"/>
        </w:trPr>
        <w:tc>
          <w:tcPr>
            <w:tcW w:w="4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15% discount from the fair market value of the stock at the end of each fiscal quarter, subject to other limitations under the plan. The sale of the stock to the employees occurs at the beginning of the subsequent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years ended December 31: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 of stock sold to employees</w:t>
            </w:r>
            <w:r>
              <w:rPr>
                <w:rFonts w:ascii="Arial" w:cs="Arial" w:eastAsia="Arial" w:hAnsi="Arial"/>
                <w:sz w:val="25"/>
                <w:szCs w:val="25"/>
                <w:color w:val="auto"/>
                <w:vertAlign w:val="superscript"/>
              </w:rPr>
              <w:t>(1)</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98,653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51,210</w:t>
            </w:r>
          </w:p>
        </w:tc>
        <w:tc>
          <w:tcPr>
            <w:tcW w:w="0" w:type="dxa"/>
            <w:vAlign w:val="bottom"/>
          </w:tcPr>
          <w:p>
            <w:pPr>
              <w:spacing w:after="0"/>
              <w:rPr>
                <w:sz w:val="1"/>
                <w:szCs w:val="1"/>
                <w:color w:val="auto"/>
              </w:rPr>
            </w:pPr>
          </w:p>
        </w:tc>
      </w:tr>
      <w:tr>
        <w:trPr>
          <w:trHeight w:val="61"/>
        </w:trPr>
        <w:tc>
          <w:tcPr>
            <w:tcW w:w="43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fair value per ESPP award</w:t>
            </w:r>
            <w:r>
              <w:rPr>
                <w:rFonts w:ascii="Arial" w:cs="Arial" w:eastAsia="Arial" w:hAnsi="Arial"/>
                <w:sz w:val="25"/>
                <w:szCs w:val="25"/>
                <w:color w:val="auto"/>
                <w:vertAlign w:val="superscript"/>
              </w:rPr>
              <w:t>(2)</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24"/>
                <w:szCs w:val="2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4"/>
                <w:szCs w:val="2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25" w:lineRule="exact"/>
        <w:rPr>
          <w:rFonts w:ascii="Arial" w:cs="Arial" w:eastAsia="Arial" w:hAnsi="Arial"/>
          <w:sz w:val="21"/>
          <w:szCs w:val="21"/>
          <w:color w:val="auto"/>
          <w:vertAlign w:val="superscript"/>
        </w:rPr>
      </w:pPr>
    </w:p>
    <w:p>
      <w:pPr>
        <w:ind w:left="340" w:hanging="332"/>
        <w:spacing w:after="0"/>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Relating to awards associated with the offering periods during the years ended December 31.</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2012, all compensation cost associated with the ESPP had been recognized. There were approximately 600,000 shares of common stock available for future issuance under the ESPP at December 31, 2012.</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Defined Contribution, Bonus, and Profit Sharing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United Kingdom, Brazil, and certain other countries, we make contributions to defined contribution plans. For our U.S. employee savings plan, which represents a majority of our contribution expense, we provide a 50%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2011</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plans expense</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7,228</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r>
      <w:tr>
        <w:trPr>
          <w:trHeight w:val="675"/>
        </w:trPr>
        <w:tc>
          <w:tcPr>
            <w:tcW w:w="4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 Plans and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employee bonus and profit sharing plans in which many of our employees participate, as well as an award program, which allows for recognition of individual employees' achievements. The bonus and profit sharing plans provide award amounts for the achievement of annual performance and financial targets. Actual bonus and profit sharing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2011</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Bonus and profit sharing plans and award expense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25,297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28,926</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46,782</w:t>
            </w:r>
          </w:p>
        </w:tc>
      </w:tr>
      <w:tr>
        <w:trPr>
          <w:trHeight w:val="27"/>
        </w:trPr>
        <w:tc>
          <w:tcPr>
            <w:tcW w:w="4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2010</w:t>
            </w:r>
          </w:p>
        </w:tc>
      </w:tr>
      <w:tr>
        <w:trPr>
          <w:trHeight w:val="27"/>
        </w:trPr>
        <w:tc>
          <w:tcPr>
            <w:tcW w:w="53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Current:</w:t>
            </w: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10,486</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765</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22,715</w:t>
            </w:r>
          </w:p>
        </w:tc>
      </w:tr>
      <w:tr>
        <w:trPr>
          <w:trHeight w:val="237"/>
        </w:trPr>
        <w:tc>
          <w:tcPr>
            <w:tcW w:w="538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1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33,966</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w:t>
            </w: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3,340</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(19,526)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(31,743)</w:t>
            </w:r>
          </w:p>
        </w:tc>
      </w:tr>
      <w:tr>
        <w:trPr>
          <w:trHeight w:val="237"/>
        </w:trPr>
        <w:tc>
          <w:tcPr>
            <w:tcW w:w="538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(21,187)</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8,518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3,195</w:t>
            </w:r>
          </w:p>
        </w:tc>
      </w:tr>
      <w:tr>
        <w:trPr>
          <w:trHeight w:val="27"/>
        </w:trPr>
        <w:tc>
          <w:tcPr>
            <w:tcW w:w="53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380" w:type="dxa"/>
            <w:vAlign w:val="bottom"/>
          </w:tcPr>
          <w:p>
            <w:pPr>
              <w:spacing w:after="0"/>
              <w:rPr>
                <w:sz w:val="24"/>
                <w:szCs w:val="24"/>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color w:val="auto"/>
              </w:rPr>
              <w:t>66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taxes at the U.S. federal statutory rate of 35% to the consolidated actual tax rate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2010</w:t>
            </w:r>
          </w:p>
        </w:tc>
      </w:tr>
      <w:tr>
        <w:trPr>
          <w:trHeight w:val="27"/>
        </w:trPr>
        <w:tc>
          <w:tcPr>
            <w:tcW w:w="5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167,299</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173,032</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Foreign</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(626,776)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(48,587)</w:t>
            </w:r>
          </w:p>
        </w:tc>
      </w:tr>
      <w:tr>
        <w:trPr>
          <w:trHeight w:val="27"/>
        </w:trPr>
        <w:tc>
          <w:tcPr>
            <w:tcW w:w="53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income (loss) before income taxes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136,219</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(501,766)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124,445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provision (benefit)</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47,677</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43,556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207,054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1,541</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(9,746)</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 including interest and penalties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Change in tax rates</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provision (benefit), net of federal effect</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U.S. tax provision on foreign earnings</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Local foreign taxes</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4,140</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37"/>
        </w:trPr>
        <w:tc>
          <w:tcPr>
            <w:tcW w:w="5380" w:type="dxa"/>
            <w:vAlign w:val="bottom"/>
          </w:tcPr>
          <w:p>
            <w:pPr>
              <w:ind w:left="720"/>
              <w:spacing w:after="0"/>
              <w:rPr>
                <w:sz w:val="20"/>
                <w:szCs w:val="20"/>
                <w:color w:val="auto"/>
              </w:rPr>
            </w:pPr>
            <w:r>
              <w:rPr>
                <w:rFonts w:ascii="Arial" w:cs="Arial" w:eastAsia="Arial" w:hAnsi="Arial"/>
                <w:sz w:val="18"/>
                <w:szCs w:val="18"/>
                <w:color w:val="auto"/>
              </w:rPr>
              <w:t>Total provision for income taxes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25,995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15,974</w:t>
            </w:r>
          </w:p>
        </w:tc>
      </w:tr>
      <w:tr>
        <w:trPr>
          <w:trHeight w:val="27"/>
        </w:trPr>
        <w:tc>
          <w:tcPr>
            <w:tcW w:w="5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tax provisions for 2012, 2011 and 2010 reflect benefits of lower statutory tax rates on foreign earnings as compared with our U.S. federal statutory rate, foreign interest expense deductions and the benefits of certain acquisition related elections for tax purposes. During 2012 we recognized a benefit related to the release of reserves for uncertain tax positions. No foreign tax benefit was recorded for the goodwill impairment charge in 2011. During 2010 we de-recognized a reserve for an uncertain tax position due to a change in the method of depreciation for certain foreign subsidiaries.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Loss carryforwards</w:t>
      </w:r>
      <w:r>
        <w:rPr>
          <w:rFonts w:ascii="Arial" w:cs="Arial" w:eastAsia="Arial" w:hAnsi="Arial"/>
          <w:sz w:val="25"/>
          <w:szCs w:val="25"/>
          <w:color w:val="auto"/>
          <w:vertAlign w:val="superscript"/>
        </w:rPr>
        <w:t>(1)</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Warranty reserves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Pension plan benefits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Equity compensation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Tax credits</w:t>
      </w:r>
      <w:r>
        <w:rPr>
          <w:rFonts w:ascii="Arial" w:cs="Arial" w:eastAsia="Arial" w:hAnsi="Arial"/>
          <w:sz w:val="25"/>
          <w:szCs w:val="25"/>
          <w:color w:val="auto"/>
          <w:vertAlign w:val="superscript"/>
        </w:rPr>
        <w:t>(2)</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deferred tax assets, net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Valuation allowance</w:t>
      </w:r>
    </w:p>
    <w:p>
      <w:pPr>
        <w:spacing w:after="0" w:line="63"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Total 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Tax effect of accumulated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deferred tax liabilities, net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34290</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820"/>
        <w:spacing w:after="0"/>
        <w:tabs>
          <w:tab w:leader="none" w:pos="296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8"/>
          <w:szCs w:val="18"/>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34290</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00" w:val="left"/>
          <w:tab w:leader="none" w:pos="2140" w:val="left"/>
          <w:tab w:leader="none" w:pos="3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54,904</w:t>
        <w:tab/>
        <w:t>$</w:t>
      </w:r>
      <w:r>
        <w:rPr>
          <w:sz w:val="20"/>
          <w:szCs w:val="20"/>
          <w:color w:val="auto"/>
        </w:rPr>
        <w:tab/>
      </w:r>
      <w:r>
        <w:rPr>
          <w:rFonts w:ascii="Arial" w:cs="Arial" w:eastAsia="Arial" w:hAnsi="Arial"/>
          <w:sz w:val="16"/>
          <w:szCs w:val="16"/>
          <w:color w:val="auto"/>
        </w:rPr>
        <w:t>61,330</w:t>
      </w:r>
    </w:p>
    <w:p>
      <w:pPr>
        <w:spacing w:after="0" w:line="6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32,998</w:t>
      </w:r>
      <w:r>
        <w:rPr>
          <w:sz w:val="20"/>
          <w:szCs w:val="20"/>
          <w:color w:val="auto"/>
        </w:rPr>
        <w:tab/>
      </w:r>
      <w:r>
        <w:rPr>
          <w:rFonts w:ascii="Arial" w:cs="Arial" w:eastAsia="Arial" w:hAnsi="Arial"/>
          <w:sz w:val="18"/>
          <w:szCs w:val="18"/>
          <w:color w:val="auto"/>
        </w:rPr>
        <w:t>27,103</w:t>
      </w:r>
    </w:p>
    <w:p>
      <w:pPr>
        <w:spacing w:after="0" w:line="6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16,712</w:t>
      </w:r>
      <w:r>
        <w:rPr>
          <w:sz w:val="20"/>
          <w:szCs w:val="20"/>
          <w:color w:val="auto"/>
        </w:rPr>
        <w:tab/>
      </w:r>
      <w:r>
        <w:rPr>
          <w:rFonts w:ascii="Arial" w:cs="Arial" w:eastAsia="Arial" w:hAnsi="Arial"/>
          <w:sz w:val="18"/>
          <w:szCs w:val="18"/>
          <w:color w:val="auto"/>
        </w:rPr>
        <w:t>21,230</w:t>
      </w:r>
    </w:p>
    <w:p>
      <w:pPr>
        <w:spacing w:after="0" w:line="63" w:lineRule="exact"/>
        <w:rPr>
          <w:sz w:val="20"/>
          <w:szCs w:val="20"/>
          <w:color w:val="auto"/>
        </w:rPr>
      </w:pPr>
    </w:p>
    <w:p>
      <w:pPr>
        <w:ind w:left="1420"/>
        <w:spacing w:after="0"/>
        <w:tabs>
          <w:tab w:leader="none" w:pos="3640" w:val="left"/>
        </w:tabs>
        <w:rPr>
          <w:sz w:val="20"/>
          <w:szCs w:val="20"/>
          <w:color w:val="auto"/>
        </w:rPr>
      </w:pPr>
      <w:r>
        <w:rPr>
          <w:rFonts w:ascii="Arial" w:cs="Arial" w:eastAsia="Arial" w:hAnsi="Arial"/>
          <w:sz w:val="18"/>
          <w:szCs w:val="18"/>
          <w:color w:val="auto"/>
        </w:rPr>
        <w:t>14,834</w:t>
      </w:r>
      <w:r>
        <w:rPr>
          <w:sz w:val="20"/>
          <w:szCs w:val="20"/>
          <w:color w:val="auto"/>
        </w:rPr>
        <w:tab/>
      </w:r>
      <w:r>
        <w:rPr>
          <w:rFonts w:ascii="Arial" w:cs="Arial" w:eastAsia="Arial" w:hAnsi="Arial"/>
          <w:sz w:val="18"/>
          <w:szCs w:val="18"/>
          <w:color w:val="auto"/>
        </w:rPr>
        <w:t>6,677</w:t>
      </w:r>
    </w:p>
    <w:p>
      <w:pPr>
        <w:spacing w:after="0" w:line="6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10,501</w:t>
      </w:r>
      <w:r>
        <w:rPr>
          <w:sz w:val="20"/>
          <w:szCs w:val="20"/>
          <w:color w:val="auto"/>
        </w:rPr>
        <w:tab/>
      </w:r>
      <w:r>
        <w:rPr>
          <w:rFonts w:ascii="Arial" w:cs="Arial" w:eastAsia="Arial" w:hAnsi="Arial"/>
          <w:sz w:val="18"/>
          <w:szCs w:val="18"/>
          <w:color w:val="auto"/>
        </w:rPr>
        <w:t>10,526</w:t>
      </w:r>
    </w:p>
    <w:p>
      <w:pPr>
        <w:spacing w:after="0" w:line="63" w:lineRule="exact"/>
        <w:rPr>
          <w:sz w:val="20"/>
          <w:szCs w:val="20"/>
          <w:color w:val="auto"/>
        </w:rPr>
      </w:pPr>
    </w:p>
    <w:p>
      <w:pPr>
        <w:ind w:left="1500"/>
        <w:spacing w:after="0"/>
        <w:tabs>
          <w:tab w:leader="none" w:pos="3640" w:val="left"/>
        </w:tabs>
        <w:rPr>
          <w:sz w:val="20"/>
          <w:szCs w:val="20"/>
          <w:color w:val="auto"/>
        </w:rPr>
      </w:pPr>
      <w:r>
        <w:rPr>
          <w:rFonts w:ascii="Arial" w:cs="Arial" w:eastAsia="Arial" w:hAnsi="Arial"/>
          <w:sz w:val="18"/>
          <w:szCs w:val="18"/>
          <w:color w:val="auto"/>
        </w:rPr>
        <w:t>9,632</w:t>
      </w:r>
      <w:r>
        <w:rPr>
          <w:sz w:val="20"/>
          <w:szCs w:val="20"/>
          <w:color w:val="auto"/>
        </w:rPr>
        <w:tab/>
      </w:r>
      <w:r>
        <w:rPr>
          <w:rFonts w:ascii="Arial" w:cs="Arial" w:eastAsia="Arial" w:hAnsi="Arial"/>
          <w:sz w:val="18"/>
          <w:szCs w:val="18"/>
          <w:color w:val="auto"/>
        </w:rPr>
        <w:t>9,241</w:t>
      </w:r>
    </w:p>
    <w:p>
      <w:pPr>
        <w:spacing w:after="0" w:line="333" w:lineRule="exact"/>
        <w:rPr>
          <w:sz w:val="20"/>
          <w:szCs w:val="20"/>
          <w:color w:val="auto"/>
        </w:rPr>
      </w:pPr>
    </w:p>
    <w:p>
      <w:pPr>
        <w:ind w:left="1500"/>
        <w:spacing w:after="0"/>
        <w:tabs>
          <w:tab w:leader="none" w:pos="3560" w:val="left"/>
        </w:tabs>
        <w:rPr>
          <w:sz w:val="20"/>
          <w:szCs w:val="20"/>
          <w:color w:val="auto"/>
        </w:rPr>
      </w:pPr>
      <w:r>
        <w:rPr>
          <w:rFonts w:ascii="Arial" w:cs="Arial" w:eastAsia="Arial" w:hAnsi="Arial"/>
          <w:sz w:val="18"/>
          <w:szCs w:val="18"/>
          <w:color w:val="auto"/>
        </w:rPr>
        <w:t>7,054</w:t>
      </w:r>
      <w:r>
        <w:rPr>
          <w:sz w:val="20"/>
          <w:szCs w:val="20"/>
          <w:color w:val="auto"/>
        </w:rPr>
        <w:tab/>
      </w:r>
      <w:r>
        <w:rPr>
          <w:rFonts w:ascii="Arial" w:cs="Arial" w:eastAsia="Arial" w:hAnsi="Arial"/>
          <w:sz w:val="18"/>
          <w:szCs w:val="18"/>
          <w:color w:val="auto"/>
        </w:rPr>
        <w:t>17,481</w:t>
      </w:r>
    </w:p>
    <w:p>
      <w:pPr>
        <w:spacing w:after="0" w:line="63" w:lineRule="exact"/>
        <w:rPr>
          <w:sz w:val="20"/>
          <w:szCs w:val="20"/>
          <w:color w:val="auto"/>
        </w:rPr>
      </w:pPr>
    </w:p>
    <w:p>
      <w:pPr>
        <w:ind w:left="1500"/>
        <w:spacing w:after="0"/>
        <w:tabs>
          <w:tab w:leader="none" w:pos="3640" w:val="left"/>
        </w:tabs>
        <w:rPr>
          <w:sz w:val="20"/>
          <w:szCs w:val="20"/>
          <w:color w:val="auto"/>
        </w:rPr>
      </w:pPr>
      <w:r>
        <w:rPr>
          <w:rFonts w:ascii="Arial" w:cs="Arial" w:eastAsia="Arial" w:hAnsi="Arial"/>
          <w:sz w:val="18"/>
          <w:szCs w:val="18"/>
          <w:color w:val="auto"/>
        </w:rPr>
        <w:t>4,557</w:t>
      </w:r>
      <w:r>
        <w:rPr>
          <w:sz w:val="20"/>
          <w:szCs w:val="20"/>
          <w:color w:val="auto"/>
        </w:rPr>
        <w:tab/>
      </w:r>
      <w:r>
        <w:rPr>
          <w:rFonts w:ascii="Arial" w:cs="Arial" w:eastAsia="Arial" w:hAnsi="Arial"/>
          <w:sz w:val="18"/>
          <w:szCs w:val="18"/>
          <w:color w:val="auto"/>
        </w:rPr>
        <w:t>4,252</w:t>
      </w:r>
    </w:p>
    <w:p>
      <w:pPr>
        <w:spacing w:after="0" w:line="63" w:lineRule="exact"/>
        <w:rPr>
          <w:sz w:val="20"/>
          <w:szCs w:val="20"/>
          <w:color w:val="auto"/>
        </w:rPr>
      </w:pPr>
    </w:p>
    <w:p>
      <w:pPr>
        <w:ind w:left="1500"/>
        <w:spacing w:after="0"/>
        <w:tabs>
          <w:tab w:leader="none" w:pos="3640" w:val="left"/>
        </w:tabs>
        <w:rPr>
          <w:sz w:val="20"/>
          <w:szCs w:val="20"/>
          <w:color w:val="auto"/>
        </w:rPr>
      </w:pPr>
      <w:r>
        <w:rPr>
          <w:rFonts w:ascii="Arial" w:cs="Arial" w:eastAsia="Arial" w:hAnsi="Arial"/>
          <w:sz w:val="18"/>
          <w:szCs w:val="18"/>
          <w:color w:val="auto"/>
        </w:rPr>
        <w:t>5,824</w:t>
      </w:r>
      <w:r>
        <w:rPr>
          <w:sz w:val="20"/>
          <w:szCs w:val="20"/>
          <w:color w:val="auto"/>
        </w:rPr>
        <w:tab/>
      </w:r>
      <w:r>
        <w:rPr>
          <w:rFonts w:ascii="Arial" w:cs="Arial" w:eastAsia="Arial" w:hAnsi="Arial"/>
          <w:sz w:val="18"/>
          <w:szCs w:val="18"/>
          <w:color w:val="auto"/>
        </w:rPr>
        <w:t>2,654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1320"/>
        <w:spacing w:after="0"/>
        <w:tabs>
          <w:tab w:leader="none" w:pos="3460" w:val="left"/>
        </w:tabs>
        <w:rPr>
          <w:sz w:val="20"/>
          <w:szCs w:val="20"/>
          <w:color w:val="auto"/>
        </w:rPr>
      </w:pPr>
      <w:r>
        <w:rPr>
          <w:rFonts w:ascii="Arial" w:cs="Arial" w:eastAsia="Arial" w:hAnsi="Arial"/>
          <w:sz w:val="18"/>
          <w:szCs w:val="18"/>
          <w:color w:val="auto"/>
        </w:rPr>
        <w:t>157,016</w:t>
      </w:r>
      <w:r>
        <w:rPr>
          <w:sz w:val="20"/>
          <w:szCs w:val="20"/>
          <w:color w:val="auto"/>
        </w:rPr>
        <w:tab/>
      </w:r>
      <w:r>
        <w:rPr>
          <w:rFonts w:ascii="Arial" w:cs="Arial" w:eastAsia="Arial" w:hAnsi="Arial"/>
          <w:sz w:val="18"/>
          <w:szCs w:val="18"/>
          <w:color w:val="auto"/>
        </w:rPr>
        <w:t>160,494</w:t>
      </w:r>
    </w:p>
    <w:p>
      <w:pPr>
        <w:spacing w:after="0" w:line="63" w:lineRule="exact"/>
        <w:rPr>
          <w:sz w:val="20"/>
          <w:szCs w:val="20"/>
          <w:color w:val="auto"/>
        </w:rPr>
      </w:pPr>
    </w:p>
    <w:p>
      <w:pPr>
        <w:jc w:val="both"/>
        <w:ind w:left="1360"/>
        <w:spacing w:after="0"/>
        <w:tabs>
          <w:tab w:leader="none" w:pos="3500" w:val="left"/>
        </w:tabs>
        <w:rPr>
          <w:sz w:val="20"/>
          <w:szCs w:val="20"/>
          <w:color w:val="auto"/>
        </w:rPr>
      </w:pPr>
      <w:r>
        <w:rPr>
          <w:rFonts w:ascii="Arial" w:cs="Arial" w:eastAsia="Arial" w:hAnsi="Arial"/>
          <w:sz w:val="18"/>
          <w:szCs w:val="18"/>
          <w:color w:val="auto"/>
        </w:rPr>
        <w:t>(29,560)</w:t>
      </w:r>
      <w:r>
        <w:rPr>
          <w:sz w:val="20"/>
          <w:szCs w:val="20"/>
          <w:color w:val="auto"/>
        </w:rPr>
        <w:tab/>
      </w:r>
      <w:r>
        <w:rPr>
          <w:rFonts w:ascii="Arial" w:cs="Arial" w:eastAsia="Arial" w:hAnsi="Arial"/>
          <w:sz w:val="18"/>
          <w:szCs w:val="18"/>
          <w:color w:val="auto"/>
        </w:rPr>
        <w:t>(29,953)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1320"/>
        <w:spacing w:after="0"/>
        <w:tabs>
          <w:tab w:leader="none" w:pos="3460" w:val="left"/>
        </w:tabs>
        <w:rPr>
          <w:sz w:val="20"/>
          <w:szCs w:val="20"/>
          <w:color w:val="auto"/>
        </w:rPr>
      </w:pPr>
      <w:r>
        <w:rPr>
          <w:rFonts w:ascii="Arial" w:cs="Arial" w:eastAsia="Arial" w:hAnsi="Arial"/>
          <w:sz w:val="18"/>
          <w:szCs w:val="18"/>
          <w:color w:val="auto"/>
        </w:rPr>
        <w:t>127,456</w:t>
      </w:r>
      <w:r>
        <w:rPr>
          <w:sz w:val="20"/>
          <w:szCs w:val="20"/>
          <w:color w:val="auto"/>
        </w:rPr>
        <w:tab/>
      </w:r>
      <w:r>
        <w:rPr>
          <w:rFonts w:ascii="Arial" w:cs="Arial" w:eastAsia="Arial" w:hAnsi="Arial"/>
          <w:sz w:val="18"/>
          <w:szCs w:val="18"/>
          <w:color w:val="auto"/>
        </w:rPr>
        <w:t>130,541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360"/>
        <w:spacing w:after="0"/>
        <w:tabs>
          <w:tab w:leader="none" w:pos="3500" w:val="left"/>
        </w:tabs>
        <w:rPr>
          <w:sz w:val="20"/>
          <w:szCs w:val="20"/>
          <w:color w:val="auto"/>
        </w:rPr>
      </w:pPr>
      <w:r>
        <w:rPr>
          <w:rFonts w:ascii="Arial" w:cs="Arial" w:eastAsia="Arial" w:hAnsi="Arial"/>
          <w:sz w:val="18"/>
          <w:szCs w:val="18"/>
          <w:color w:val="auto"/>
        </w:rPr>
        <w:t>(59,210)</w:t>
      </w:r>
      <w:r>
        <w:rPr>
          <w:sz w:val="20"/>
          <w:szCs w:val="20"/>
          <w:color w:val="auto"/>
        </w:rPr>
        <w:tab/>
      </w:r>
      <w:r>
        <w:rPr>
          <w:rFonts w:ascii="Arial" w:cs="Arial" w:eastAsia="Arial" w:hAnsi="Arial"/>
          <w:sz w:val="18"/>
          <w:szCs w:val="18"/>
          <w:color w:val="auto"/>
        </w:rPr>
        <w:t>(71,889)</w:t>
      </w:r>
    </w:p>
    <w:p>
      <w:pPr>
        <w:spacing w:after="0" w:line="63" w:lineRule="exact"/>
        <w:rPr>
          <w:sz w:val="20"/>
          <w:szCs w:val="20"/>
          <w:color w:val="auto"/>
        </w:rPr>
      </w:pPr>
    </w:p>
    <w:p>
      <w:pPr>
        <w:jc w:val="both"/>
        <w:ind w:left="1440"/>
        <w:spacing w:after="0"/>
        <w:tabs>
          <w:tab w:leader="none" w:pos="358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(2,733)</w:t>
      </w:r>
    </w:p>
    <w:p>
      <w:pPr>
        <w:spacing w:after="0" w:line="63" w:lineRule="exact"/>
        <w:rPr>
          <w:sz w:val="20"/>
          <w:szCs w:val="20"/>
          <w:color w:val="auto"/>
        </w:rPr>
      </w:pPr>
    </w:p>
    <w:p>
      <w:pPr>
        <w:jc w:val="both"/>
        <w:ind w:left="1440"/>
        <w:spacing w:after="0"/>
        <w:tabs>
          <w:tab w:leader="none" w:pos="3580" w:val="left"/>
        </w:tabs>
        <w:rPr>
          <w:sz w:val="20"/>
          <w:szCs w:val="20"/>
          <w:color w:val="auto"/>
        </w:rPr>
      </w:pPr>
      <w:r>
        <w:rPr>
          <w:rFonts w:ascii="Arial" w:cs="Arial" w:eastAsia="Arial" w:hAnsi="Arial"/>
          <w:sz w:val="18"/>
          <w:szCs w:val="18"/>
          <w:color w:val="auto"/>
        </w:rPr>
        <w:t>(4,826)</w:t>
      </w:r>
      <w:r>
        <w:rPr>
          <w:sz w:val="20"/>
          <w:szCs w:val="20"/>
          <w:color w:val="auto"/>
        </w:rPr>
        <w:tab/>
      </w:r>
      <w:r>
        <w:rPr>
          <w:rFonts w:ascii="Arial" w:cs="Arial" w:eastAsia="Arial" w:hAnsi="Arial"/>
          <w:sz w:val="18"/>
          <w:szCs w:val="18"/>
          <w:color w:val="auto"/>
        </w:rPr>
        <w:t>(7,885)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jc w:val="both"/>
        <w:ind w:left="1360"/>
        <w:spacing w:after="0"/>
        <w:tabs>
          <w:tab w:leader="none" w:pos="3500" w:val="left"/>
        </w:tabs>
        <w:rPr>
          <w:sz w:val="20"/>
          <w:szCs w:val="20"/>
          <w:color w:val="auto"/>
        </w:rPr>
      </w:pPr>
      <w:r>
        <w:rPr>
          <w:rFonts w:ascii="Arial" w:cs="Arial" w:eastAsia="Arial" w:hAnsi="Arial"/>
          <w:sz w:val="18"/>
          <w:szCs w:val="18"/>
          <w:color w:val="auto"/>
        </w:rPr>
        <w:t>(66,048)</w:t>
      </w:r>
      <w:r>
        <w:rPr>
          <w:sz w:val="20"/>
          <w:szCs w:val="20"/>
          <w:color w:val="auto"/>
        </w:rPr>
        <w:tab/>
      </w:r>
      <w:r>
        <w:rPr>
          <w:rFonts w:ascii="Arial" w:cs="Arial" w:eastAsia="Arial" w:hAnsi="Arial"/>
          <w:sz w:val="18"/>
          <w:szCs w:val="18"/>
          <w:color w:val="auto"/>
        </w:rPr>
        <w:t>(82,507)</w:t>
      </w:r>
    </w:p>
    <w:p>
      <w:pPr>
        <w:spacing w:after="0" w:line="77" w:lineRule="exact"/>
        <w:rPr>
          <w:sz w:val="20"/>
          <w:szCs w:val="20"/>
          <w:color w:val="auto"/>
        </w:rPr>
      </w:pPr>
    </w:p>
    <w:p>
      <w:pPr>
        <w:spacing w:after="0"/>
        <w:tabs>
          <w:tab w:leader="none" w:pos="1400" w:val="left"/>
          <w:tab w:leader="none" w:pos="2140" w:val="left"/>
          <w:tab w:leader="none" w:pos="3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61,408</w:t>
        <w:tab/>
        <w:t>$</w:t>
      </w:r>
      <w:r>
        <w:rPr>
          <w:sz w:val="20"/>
          <w:szCs w:val="20"/>
          <w:color w:val="auto"/>
        </w:rPr>
        <w:tab/>
      </w:r>
      <w:r>
        <w:rPr>
          <w:rFonts w:ascii="Arial" w:cs="Arial" w:eastAsia="Arial" w:hAnsi="Arial"/>
          <w:sz w:val="16"/>
          <w:szCs w:val="16"/>
          <w:color w:val="auto"/>
        </w:rPr>
        <w:t>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48895</wp:posOffset>
            </wp:positionV>
            <wp:extent cx="2675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180"/>
          </w:cols>
          <w:pgMar w:left="240" w:top="125" w:right="239" w:bottom="1440" w:gutter="0" w:footer="0" w:header="0"/>
        </w:sectPr>
      </w:pPr>
    </w:p>
    <w:p>
      <w:pPr>
        <w:spacing w:after="0" w:line="66" w:lineRule="exact"/>
        <w:rPr>
          <w:sz w:val="20"/>
          <w:szCs w:val="20"/>
          <w:color w:val="auto"/>
        </w:rPr>
      </w:pPr>
    </w:p>
    <w:p>
      <w:pPr>
        <w:jc w:val="both"/>
        <w:ind w:left="660" w:hanging="328"/>
        <w:spacing w:after="0" w:line="232"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For tax return purposes at December 31, 2012, we had U.S. federal loss carryforwards of $26.4 million that expire during the years 2021 through 2022. The remaining portion of the loss carryforwards are composed primarily of losses in various foreign jurisdictions. The majority of these losses can be carried forward indefinitely. At December 31, 2012, there was a valuation allowance of $29.6 million primarily associated with foreign loss carryforwards.</w:t>
      </w:r>
    </w:p>
    <w:p>
      <w:pPr>
        <w:spacing w:after="0" w:line="202" w:lineRule="exact"/>
        <w:rPr>
          <w:rFonts w:ascii="Arial" w:cs="Arial" w:eastAsia="Arial" w:hAnsi="Arial"/>
          <w:sz w:val="25"/>
          <w:szCs w:val="25"/>
          <w:color w:val="auto"/>
          <w:vertAlign w:val="superscript"/>
        </w:rPr>
      </w:pPr>
    </w:p>
    <w:p>
      <w:pPr>
        <w:jc w:val="both"/>
        <w:ind w:left="660" w:hanging="328"/>
        <w:spacing w:after="0" w:line="226"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For tax return purposes at December 31, 2012, we had: (1) federal and state research and development tax credits of $18.1 million, which begin to expire in 2020; (2) alternative minimum tax credits of $2.5 million that are carried forward indefinitely; and (3) general business tax credits of $5.2 million, which begin to expire in 2029.</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Our deferred tax assets at December 31, 2012 do not include the tax effect on $55.2 million of excess tax benefits from employee stock plan exercises.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be increased by $21.0 million when such excess tax benefits reduce cash taxes payable.</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do not provide U.S. deferred taxes on temporary differences related to our foreign investments that are considered permanent in duration. These temporary differences consist primarily of undistributed foreign earnings of $48.8 million and $42.1 million at December 31, 2012 and 2011, respectively. Foreign taxes have been provided on these undistributed foreign earnings. We have not computed the unrecognized deferred income tax liability on these temporary differences. There are many assumptions that must be considered to calculate the liability, thereby making it impractical to compute at this time.</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subject to income tax in the United States and numerous foreign jurisdictions. Significant judgment is required in evaluating</w:t>
      </w:r>
      <w:r>
        <w:rPr>
          <w:sz w:val="1"/>
          <w:szCs w:val="1"/>
          <w:color w:val="auto"/>
        </w:rPr>
        <w:drawing>
          <wp:inline distT="0" distB="0" distL="0" distR="0">
            <wp:extent cx="34290"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rPr>
        <w:t>our tax positions and determining our provision for income taxes. During the ordinary course of business, there are many transactions and calculations for which the ultimate tax determination is uncertain. We establish reserves for tax-related uncertainties based on</w:t>
      </w:r>
    </w:p>
    <w:p>
      <w:pPr>
        <w:sectPr>
          <w:pgSz w:w="11900" w:h="16838" w:orient="portrait"/>
          <w:cols w:equalWidth="0" w:num="1">
            <w:col w:w="11420"/>
          </w:cols>
          <w:pgMar w:left="240" w:top="125" w:right="239" w:bottom="1440" w:gutter="0" w:footer="0" w:header="0"/>
          <w:type w:val="continuous"/>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 2010</w:t>
            </w:r>
          </w:p>
        </w:tc>
        <w:tc>
          <w:tcPr>
            <w:tcW w:w="10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46,206</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increase to positions in prior years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decrease to positions in prior years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increases to current period tax positions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13,743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Audit 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w w:val="98"/>
              </w:rPr>
              <w:t>Decrease related to lapsing of statute of limitations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10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 2010</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44,049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increase to positions in prior years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decrease to positions in prior years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increases to current period tax positions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Audit 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w w:val="98"/>
              </w:rPr>
              <w:t>Decrease related to lapsing of statute of limitations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10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 2011</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28,482</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increase to positions in prior years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decrease to positions in prior years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increases to current period tax positions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3,347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Audit 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w w:val="98"/>
              </w:rPr>
              <w:t>Decrease related to lapsing of statute of limitations</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(5,769)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10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 2012</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26,433</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75"/>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amount of unrecognized tax benefits that, if</w:t>
            </w: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recognized, would affect our effective tax rate</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25,852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28,196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32,706</w:t>
            </w:r>
          </w:p>
        </w:tc>
      </w:tr>
      <w:tr>
        <w:trPr>
          <w:trHeight w:val="27"/>
        </w:trPr>
        <w:tc>
          <w:tcPr>
            <w:tcW w:w="4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classify interest expense and penalties related to unrecognized tax benefits and interest income on tax overpayments as components of income tax expense. The net interest and penalties expense (benefit) recognized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6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9"/>
              </w:rPr>
              <w:t>Year Ended December 31,</w:t>
            </w: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2011</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and penalties expense (benefit)</w:t>
            </w:r>
          </w:p>
        </w:tc>
        <w:tc>
          <w:tcPr>
            <w:tcW w:w="108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594"/>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At December 31,</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6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2011</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4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08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8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3,781</w:t>
            </w:r>
          </w:p>
        </w:tc>
        <w:tc>
          <w:tcPr>
            <w:tcW w:w="1200" w:type="dxa"/>
            <w:vAlign w:val="bottom"/>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Accrued penalties</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3,030</w:t>
            </w: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2,766</w:t>
            </w:r>
          </w:p>
        </w:tc>
        <w:tc>
          <w:tcPr>
            <w:tcW w:w="12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$3.6 million within the next twelve months due to the expiration of the statute of limitations. At December 31, 2012, we are not able to reasonably estimate the timing of future cash flows relating to our uncertain tax positions.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ind w:left="40"/>
              <w:spacing w:after="0"/>
              <w:rPr>
                <w:sz w:val="20"/>
                <w:szCs w:val="20"/>
                <w:color w:val="auto"/>
              </w:rPr>
            </w:pPr>
            <w:r>
              <w:rPr>
                <w:rFonts w:ascii="Arial" w:cs="Arial" w:eastAsia="Arial" w:hAnsi="Arial"/>
                <w:sz w:val="18"/>
                <w:szCs w:val="18"/>
                <w:b w:val="1"/>
                <w:bCs w:val="1"/>
                <w:color w:val="auto"/>
              </w:rPr>
              <w:t>Tax Jurisdiction</w:t>
            </w:r>
          </w:p>
        </w:tc>
        <w:tc>
          <w:tcPr>
            <w:tcW w:w="2380" w:type="dxa"/>
            <w:vAlign w:val="bottom"/>
          </w:tcPr>
          <w:p>
            <w:pPr>
              <w:ind w:left="240"/>
              <w:spacing w:after="0"/>
              <w:rPr>
                <w:sz w:val="20"/>
                <w:szCs w:val="20"/>
                <w:color w:val="auto"/>
              </w:rPr>
            </w:pPr>
            <w:r>
              <w:rPr>
                <w:rFonts w:ascii="Arial" w:cs="Arial" w:eastAsia="Arial" w:hAnsi="Arial"/>
                <w:sz w:val="18"/>
                <w:szCs w:val="18"/>
                <w:b w:val="1"/>
                <w:bCs w:val="1"/>
                <w:color w:val="auto"/>
              </w:rPr>
              <w:t>Years Subject to Audit</w:t>
            </w:r>
          </w:p>
        </w:tc>
      </w:tr>
      <w:tr>
        <w:trPr>
          <w:trHeight w:val="27"/>
        </w:trPr>
        <w:tc>
          <w:tcPr>
            <w:tcW w:w="3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2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Subsequent to 1998</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France</w:t>
            </w:r>
          </w:p>
        </w:tc>
        <w:tc>
          <w:tcPr>
            <w:tcW w:w="2380" w:type="dxa"/>
            <w:vAlign w:val="bottom"/>
          </w:tcPr>
          <w:p>
            <w:pPr>
              <w:ind w:left="480"/>
              <w:spacing w:after="0"/>
              <w:rPr>
                <w:sz w:val="20"/>
                <w:szCs w:val="20"/>
                <w:color w:val="auto"/>
              </w:rPr>
            </w:pPr>
            <w:r>
              <w:rPr>
                <w:rFonts w:ascii="Arial" w:cs="Arial" w:eastAsia="Arial" w:hAnsi="Arial"/>
                <w:sz w:val="18"/>
                <w:szCs w:val="18"/>
                <w:color w:val="auto"/>
              </w:rPr>
              <w:t>Subsequent to 2009</w:t>
            </w: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Subsequent to 2007</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Brazil</w:t>
            </w:r>
          </w:p>
        </w:tc>
        <w:tc>
          <w:tcPr>
            <w:tcW w:w="2380" w:type="dxa"/>
            <w:vAlign w:val="bottom"/>
          </w:tcPr>
          <w:p>
            <w:pPr>
              <w:ind w:left="480"/>
              <w:spacing w:after="0"/>
              <w:rPr>
                <w:sz w:val="20"/>
                <w:szCs w:val="20"/>
                <w:color w:val="auto"/>
              </w:rPr>
            </w:pPr>
            <w:r>
              <w:rPr>
                <w:rFonts w:ascii="Arial" w:cs="Arial" w:eastAsia="Arial" w:hAnsi="Arial"/>
                <w:sz w:val="18"/>
                <w:szCs w:val="18"/>
                <w:color w:val="auto"/>
              </w:rPr>
              <w:t>Subsequent to 2006</w:t>
            </w: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Subsequent to 2006</w:t>
            </w:r>
          </w:p>
        </w:tc>
      </w:tr>
      <w:tr>
        <w:trPr>
          <w:trHeight w:val="27"/>
        </w:trPr>
        <w:tc>
          <w:tcPr>
            <w:tcW w:w="3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American Taxpayer Relief Act of 2012 (the "Act") was signed into law on January 2, 2013 and extended several business tax provisions including: (1) the active financing income and controlled foreign corporation look-through exceptions to certain foreign income; and (2) the research and experimentation credit. The tax effects of the Act will be recognized in the first quarter of 2013.</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rental expense for factories, service and distribution locations, offices, and equipment was as follows: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2011</w:t>
            </w:r>
          </w:p>
        </w:tc>
        <w:tc>
          <w:tcPr>
            <w:tcW w:w="4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2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Rental expense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17,877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18,513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r>
      <w:tr>
        <w:trPr>
          <w:trHeight w:val="27"/>
        </w:trPr>
        <w:tc>
          <w:tcPr>
            <w:tcW w:w="29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minimum lease payments at December 31, 2012, under noncancelable operating leases with initial or remaining terms in excess of one year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Minimum Payments</w:t>
            </w:r>
          </w:p>
        </w:tc>
      </w:tr>
      <w:tr>
        <w:trPr>
          <w:trHeight w:val="27"/>
        </w:trPr>
        <w:tc>
          <w:tcPr>
            <w:tcW w:w="4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17,214</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14,267</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9,907</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8,021</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Beyond 2017</w:t>
            </w:r>
          </w:p>
        </w:tc>
        <w:tc>
          <w:tcPr>
            <w:tcW w:w="1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2,968</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Future minimum lease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64,497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is recognized straight-line over the lease term, including renewal periods if reasonably assured. We lease most of our sales and distribution locations and administrative offices. Our leases typically contain renewal options similar to the original terms with lease payments that increase based on the consumer price index.</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2012</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4"/>
          </w:tcPr>
          <w:p>
            <w:pPr>
              <w:jc w:val="right"/>
              <w:ind w:right="13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66"/>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(160,000)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(44,549)</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465,672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295,451</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67,968</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(29,906)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(28,733)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7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4"/>
                <w:szCs w:val="2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72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36,551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39,235</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164,820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139,954</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ind w:left="340" w:hanging="332"/>
        <w:spacing w:after="0" w:line="182"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December 31, 2012 were not material to our financial condition or results of operations.</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2010 and 2011, Transdata Incorporated (Transdata) filed lawsuits against three of our customers, CenterPoint Energy (CenterPoint), TriCounty Electric Cooperative, Inc. (Tri-County), and San Diego Gas &amp; Electric Company (San Diego), a customer of recently acquired SmartSynch, and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 CenterPoint, Tri-County, and San Diego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has issued re-examination certificates confirming the patentability of the original claims and allowing certain new claims added by TransData. The district court scheduled claim construction proceedings for February and May, 2013. The remainder of the pretrial schedule depends on the date of the final claim construction decision. We do not believe this matter will have a material adverse effect on our business or financial condition, although an unfavorable outcome could have a material adverse effect on our results of operations for the period in which such a loss is recognized.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2011, a lawsuit was filed in the United States District Court for the Eastern District of Texas alleging infringement of three patents owned by EON Corp. IP Holdings, LLC (EON), related to two-way communication networks, network components, and related software platforms. The complaint seeks unspecified damages as well as injunctive relief. On July 16, 2012, Itron filed a Motion to Sever and Transfer Venue (the Motion) to the Eastern District of Washington. The Court denied the Motion without prejudice, which allows us to file a new motion and provide additional evidence to the Court in support of the motion.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the claim is resolved.</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79,536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51,283</w:t>
            </w: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New product warranties</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8,735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8,305</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changes/adjustments to warranties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50,104</w:t>
            </w: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Claims activity</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(38,979)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(28,565)</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53,605</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79,536</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warranty</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27,115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52,588</w:t>
            </w:r>
          </w:p>
        </w:tc>
      </w:tr>
      <w:tr>
        <w:trPr>
          <w:trHeight w:val="257"/>
        </w:trPr>
        <w:tc>
          <w:tcPr>
            <w:tcW w:w="4380" w:type="dxa"/>
            <w:vAlign w:val="bottom"/>
          </w:tcPr>
          <w:p>
            <w:pPr>
              <w:ind w:left="380"/>
              <w:spacing w:after="0"/>
              <w:rPr>
                <w:sz w:val="20"/>
                <w:szCs w:val="20"/>
                <w:color w:val="auto"/>
              </w:rPr>
            </w:pPr>
            <w:r>
              <w:rPr>
                <w:rFonts w:ascii="Arial" w:cs="Arial" w:eastAsia="Arial" w:hAnsi="Arial"/>
                <w:sz w:val="18"/>
                <w:szCs w:val="18"/>
                <w:color w:val="auto"/>
              </w:rPr>
              <w:t>Long-term warranty</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26,490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26,948</w:t>
            </w:r>
          </w:p>
        </w:tc>
      </w:tr>
      <w:tr>
        <w:trPr>
          <w:trHeight w:val="20"/>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warranty expense is classified within cost of revenues and consists of new product warranties issued and other changes and adjustments to warranties.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Warranty expense for the years ended December 31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2011</w:t>
            </w:r>
          </w:p>
        </w:tc>
        <w:tc>
          <w:tcPr>
            <w:tcW w:w="4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7"/>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warranty expense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13,186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49,851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38,579</w:t>
            </w:r>
          </w:p>
        </w:tc>
      </w:tr>
      <w:tr>
        <w:trPr>
          <w:trHeight w:val="27"/>
        </w:trPr>
        <w:tc>
          <w:tcPr>
            <w:tcW w:w="4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Warranty expense for the year ended December 31, 2012 reflects a $5.3 million adjustment, which reduced a warranty accrual, originally recorded in 2011, as a result of lower than estimated replacements. Warranty expense for the year ended December 31, 2011 reflects a charge of $12.6 million associated with a vendor-supplied component in North America and a charge of $6.6 million resulting from the identification of a specific batch of C&amp;I meters that were manufactured in North America with a misaligned automated solder-feeder. Warranty expense for the year ended December 31, 2011 also reflects the benefit of an $8.6 million insurance recovery associated with the settlement of product claims in Sweden in 2010 and a warranty charge of $9.2 million related to certain products in Brazil. Warranty expense for the year ended December 31, 2010 reflects $14.4 million recorded for arbitration claims in Sweden, which were settled in the third quarter of 2010.</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6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78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8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9"/>
              </w:rPr>
              <w:t>(in thousands)</w:t>
            </w:r>
          </w:p>
        </w:tc>
        <w:tc>
          <w:tcPr>
            <w:tcW w:w="58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24,448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14,637</w:t>
            </w:r>
          </w:p>
        </w:tc>
      </w:tr>
      <w:tr>
        <w:trPr>
          <w:trHeight w:val="237"/>
        </w:trPr>
        <w:tc>
          <w:tcPr>
            <w:tcW w:w="782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8,832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11,099</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(1,233)</w:t>
            </w:r>
          </w:p>
        </w:tc>
      </w:tr>
      <w:tr>
        <w:trPr>
          <w:trHeight w:val="237"/>
        </w:trPr>
        <w:tc>
          <w:tcPr>
            <w:tcW w:w="782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31,960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24,448</w:t>
            </w: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2,031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1,305</w:t>
            </w:r>
          </w:p>
        </w:tc>
      </w:tr>
      <w:tr>
        <w:trPr>
          <w:trHeight w:val="3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29,929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23,143</w:t>
            </w: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are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00" w:type="dxa"/>
            <w:vAlign w:val="bottom"/>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2011</w:t>
            </w:r>
          </w:p>
        </w:tc>
        <w:tc>
          <w:tcPr>
            <w:tcW w:w="4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2010</w:t>
            </w:r>
          </w:p>
        </w:tc>
      </w:tr>
      <w:tr>
        <w:trPr>
          <w:trHeight w:val="27"/>
        </w:trPr>
        <w:tc>
          <w:tcPr>
            <w:tcW w:w="3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Plan costs</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26,755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24,331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20,548</w:t>
            </w:r>
          </w:p>
        </w:tc>
      </w:tr>
      <w:tr>
        <w:trPr>
          <w:trHeight w:val="27"/>
        </w:trPr>
        <w:tc>
          <w:tcPr>
            <w:tcW w:w="3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is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Arial" w:cs="Arial" w:eastAsia="Arial" w:hAnsi="Arial"/>
                <w:sz w:val="18"/>
                <w:szCs w:val="18"/>
                <w:b w:val="1"/>
                <w:bCs w:val="1"/>
                <w:color w:val="auto"/>
                <w:w w:val="99"/>
              </w:rPr>
              <w:t>December 31, 2012</w:t>
            </w:r>
          </w:p>
        </w:tc>
        <w:tc>
          <w:tcPr>
            <w:tcW w:w="220" w:type="dxa"/>
            <w:vAlign w:val="bottom"/>
          </w:tcPr>
          <w:p>
            <w:pPr>
              <w:spacing w:after="0"/>
              <w:rPr>
                <w:sz w:val="20"/>
                <w:szCs w:val="20"/>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2011</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gridSpan w:val="3"/>
          </w:tcPr>
          <w:p>
            <w:pPr>
              <w:ind w:left="11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IBNR accrual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2,552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fourth quarter of 2011, we announced the approval of projects to restructure our manufacturing operations to increase efficiency and lower our cost of manufacturing. We began implementing these projects in the fourth quarter of 2011, and we expect to substantially complete these projects by the end of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projects are subject to a variety of labor and employment laws, rules, and regulations, which could result in a delay in implementing projects at some locations. Real estate market conditions may impact the timing of our ability to sell some of the manufacturing facilities we have designated for closure and disposal. This may delay the completion of the restructuring projects beyond 2013.</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expected restructuring costs as of December 31, 2012 were $77.8 million, which is a decrease of approximately $7.7 million from the total expected costs at December 31, 2011. This decrease was primarily the result of gains on the dispositions of fixed assets and a correction to the amount of goodwill allocated to one of our non-core businesses sold as part of the restructuring process. In addition, expected severance costs were reduced as the result of certain employees, in positions that were eliminated under the restructuring plan, filling vacant positions within the Company.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the costs recognized in prior periods, the restructuring costs recognized during the year ended December 31, 2012, and the remaining expected restructuring costs as of December 31, 2012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Costs Recognized During</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the</w:t>
            </w:r>
          </w:p>
        </w:tc>
        <w:tc>
          <w:tcPr>
            <w:tcW w:w="12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Remaining Costs to be</w:t>
            </w:r>
          </w:p>
        </w:tc>
      </w:tr>
      <w:tr>
        <w:trPr>
          <w:trHeight w:val="216"/>
        </w:trPr>
        <w:tc>
          <w:tcPr>
            <w:tcW w:w="27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Total Expected Costs at</w:t>
            </w: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Costs Recognized in</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Recognized at</w:t>
            </w:r>
          </w:p>
        </w:tc>
      </w:tr>
      <w:tr>
        <w:trPr>
          <w:trHeight w:val="234"/>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2012</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Prior Periods</w:t>
            </w:r>
          </w:p>
        </w:tc>
        <w:tc>
          <w:tcPr>
            <w:tcW w:w="20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 2012</w:t>
            </w:r>
          </w:p>
        </w:tc>
        <w:tc>
          <w:tcPr>
            <w:tcW w:w="120" w:type="dxa"/>
            <w:vAlign w:val="bottom"/>
          </w:tcPr>
          <w:p>
            <w:pPr>
              <w:spacing w:after="0"/>
              <w:rPr>
                <w:sz w:val="20"/>
                <w:szCs w:val="20"/>
                <w:color w:val="auto"/>
              </w:rPr>
            </w:pPr>
          </w:p>
        </w:tc>
        <w:tc>
          <w:tcPr>
            <w:tcW w:w="19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December 31, 2012</w:t>
            </w:r>
          </w:p>
        </w:tc>
      </w:tr>
      <w:tr>
        <w:trPr>
          <w:trHeight w:val="27"/>
        </w:trPr>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5"/>
          </w:tcPr>
          <w:p>
            <w:pPr>
              <w:ind w:left="12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3,695</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1,046</w:t>
            </w: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restructuring costs</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3,346</w:t>
            </w:r>
          </w:p>
        </w:tc>
      </w:tr>
      <w:tr>
        <w:trPr>
          <w:trHeight w:val="297"/>
        </w:trPr>
        <w:tc>
          <w:tcPr>
            <w:tcW w:w="2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77,834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68,082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8,087</w:t>
            </w:r>
          </w:p>
        </w:tc>
      </w:tr>
      <w:tr>
        <w:trPr>
          <w:trHeight w:val="311"/>
        </w:trPr>
        <w:tc>
          <w:tcPr>
            <w:tcW w:w="2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i w:val="1"/>
                <w:iCs w:val="1"/>
                <w:color w:val="auto"/>
              </w:rPr>
              <w:t>Segments:</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Energy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43"/>
        </w:trPr>
        <w:tc>
          <w:tcPr>
            <w:tcW w:w="2700" w:type="dxa"/>
            <w:vAlign w:val="bottom"/>
          </w:tcPr>
          <w:p>
            <w:pPr>
              <w:ind w:left="200"/>
              <w:spacing w:after="0"/>
              <w:rPr>
                <w:sz w:val="20"/>
                <w:szCs w:val="20"/>
                <w:color w:val="auto"/>
              </w:rPr>
            </w:pPr>
            <w:r>
              <w:rPr>
                <w:rFonts w:ascii="Arial" w:cs="Arial" w:eastAsia="Arial" w:hAnsi="Arial"/>
                <w:sz w:val="18"/>
                <w:szCs w:val="18"/>
                <w:color w:val="auto"/>
              </w:rPr>
              <w:t>Water</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16,127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1,571</w:t>
            </w: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unallocated</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w:t>
            </w:r>
          </w:p>
        </w:tc>
      </w:tr>
      <w:tr>
        <w:trPr>
          <w:trHeight w:val="257"/>
        </w:trPr>
        <w:tc>
          <w:tcPr>
            <w:tcW w:w="2700" w:type="dxa"/>
            <w:vAlign w:val="bottom"/>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77,834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8,087</w:t>
            </w: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restructuring costs include expenses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within the restructuring related balance sheet accounts during the year ended December 31, 2012: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Impairments &amp;</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Accrued</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Net (Gain) Loss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on Sale or</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Other Accrued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Disposal</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4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8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28,567</w:t>
            </w: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(17,636)</w:t>
            </w: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Non-cash items</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4,839</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change in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Ending balance, December 31, 2012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17,714</w:t>
            </w: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Asset impairments are determined at the asset group level. Assets held for sale are classified within other current assets and are reported at the lower of the carrying amount or fair value less costs to sell, and are no longer depreciated or amortized. During the year-ended December 31, 2012, we adjusted the estimated impairment of certain assets and recognized gains on the sale of various asset groups. As part of the sale of a non-core business in Europe, $675,000 of goodwill was allocated to the business and charged to asset impairment restructuring expense. In addition, during the third quarter of 2012, we corrected an overstatement of $5.4 million in restructuring expense, originally recognized during the year ended December 31, 2011, for the goodwill allocated to a non-core business in North America that was sold in May 2012. See Note 5 for additional information related to the goodwill impairment correction.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portions of the restructuring related liability balances were $13.2 million and $25.6 million as of December 31, 2012 and 2011, respectively. The current portion of the liability is classified within "Other current liabilities" on the Consolidated Balance Sheets. The long-term portions of the restructuring related liability related balances were $4.5 million and $3.0 million as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December 31, 2012 and 2011, respectively. The long term portion of the restructuring liability is classified within "Other long-term liabilities" on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long-lived assets held for sale and long-lived assets held and used that were measured at fair value on a nonrecurring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 and the related recognized losses for the years ended December 31, 2012 and 2011:</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Net Carrying Value</w:t>
            </w:r>
          </w:p>
        </w:tc>
        <w:tc>
          <w:tcPr>
            <w:tcW w:w="202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Measurement (Level 3)</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Total Loss Recognized</w:t>
            </w:r>
          </w:p>
        </w:tc>
      </w:tr>
      <w:tr>
        <w:trPr>
          <w:trHeight w:val="27"/>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(in thousands)</w:t>
            </w: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i w:val="1"/>
                <w:iCs w:val="1"/>
                <w:color w:val="auto"/>
              </w:rPr>
              <w:t>2012</w:t>
            </w: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
        </w:trPr>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Long-lived assets held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3,184</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3,184</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2011</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8"/>
                <w:szCs w:val="18"/>
                <w:color w:val="auto"/>
              </w:rPr>
              <w:t>Long-lived assets held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898</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898</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13,151</w:t>
            </w:r>
          </w:p>
        </w:tc>
      </w:tr>
      <w:tr>
        <w:trPr>
          <w:trHeight w:val="27"/>
        </w:trPr>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Long-lived assets held and used</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8,558</w:t>
            </w:r>
          </w:p>
        </w:tc>
        <w:tc>
          <w:tcPr>
            <w:tcW w:w="3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8,558</w:t>
            </w: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20,905</w:t>
            </w:r>
          </w:p>
        </w:tc>
      </w:tr>
      <w:tr>
        <w:trPr>
          <w:trHeight w:val="27"/>
        </w:trPr>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values of the disposal groups included in long-lived assets held for sale were determined based on the estimated proceeds from their expected sales, net of estimated selling costs. The fair values of the assets held and used were based on the market approach using similar properties in the respective geography to determine an estimated sales price. Long-lived assets held for sale in 2012 consist of one asset group that includes land, a building, and building improvements. This asset group was included in long-lived assets held and used at December 31, 2011, at which time the carrying value was reduced to fair value, and an impairment charge was recognized and included in the total loss in the table above. In 2011, long-lived assets held for sale encompassed two disposal groups, each representing a business, and consisting of land, building, machinery and equipment, intangible assets, and goodwill.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and net operating income from the activities we have exited or will exit under the restructuring plan are not material to our operating segments or consolidated results.</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Shareholders’ Equity</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24, 2011, our Board of Directors authorized a twelve-month repurchase program of up to $100 million of our common stock. On September 13, 2012, the Board approved the extension of the expiration date of the stock repurchase program until February 15, 2013, or until the aggregate limit of $100 million of outstanding common stock has been repurchased, whichever occurs first. Repurchases are made in the open market or in privately negotiated transactions, and in accordance with applicable securities laws. For the period from the inception of the program through December 31, 2012, we repurchased $76.9 million of our common stock. We did not repurchase any stock from January 1, 2013 through February 15, 2013, when the stock repurchase program expired.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Other comprehensive income (loss) is reflected as a net increase (decrease) to shareholders’ equity and is not reflected in our results of operations. The changes in the components of accumulated other comprehensive income (loss), net of tax,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at January 1, 2010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other comprehensive income (loss)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at December 31, 2010</w:t>
      </w:r>
    </w:p>
    <w:p>
      <w:pPr>
        <w:spacing w:after="0" w:line="200" w:lineRule="exact"/>
        <w:rPr>
          <w:sz w:val="20"/>
          <w:szCs w:val="20"/>
          <w:color w:val="auto"/>
        </w:rPr>
      </w:pPr>
    </w:p>
    <w:p>
      <w:pPr>
        <w:spacing w:after="0" w:line="210" w:lineRule="exact"/>
        <w:rPr>
          <w:sz w:val="20"/>
          <w:szCs w:val="20"/>
          <w:color w:val="auto"/>
        </w:rPr>
      </w:pPr>
    </w:p>
    <w:p>
      <w:pPr>
        <w:ind w:left="40"/>
        <w:spacing w:after="0" w:line="399" w:lineRule="auto"/>
        <w:rPr>
          <w:sz w:val="20"/>
          <w:szCs w:val="20"/>
          <w:color w:val="auto"/>
        </w:rPr>
      </w:pPr>
      <w:r>
        <w:rPr>
          <w:rFonts w:ascii="Arial" w:cs="Arial" w:eastAsia="Arial" w:hAnsi="Arial"/>
          <w:sz w:val="16"/>
          <w:szCs w:val="16"/>
          <w:color w:val="auto"/>
        </w:rPr>
        <w:t>Current period other comprehensive income (loss) Balances at December 31, 2011</w:t>
      </w:r>
    </w:p>
    <w:p>
      <w:pPr>
        <w:spacing w:after="0" w:line="266" w:lineRule="exact"/>
        <w:rPr>
          <w:sz w:val="20"/>
          <w:szCs w:val="20"/>
          <w:color w:val="auto"/>
        </w:rPr>
      </w:pPr>
    </w:p>
    <w:p>
      <w:pPr>
        <w:ind w:left="40"/>
        <w:spacing w:after="0" w:line="399" w:lineRule="auto"/>
        <w:rPr>
          <w:sz w:val="20"/>
          <w:szCs w:val="20"/>
          <w:color w:val="auto"/>
        </w:rPr>
      </w:pPr>
      <w:r>
        <w:rPr>
          <w:rFonts w:ascii="Arial" w:cs="Arial" w:eastAsia="Arial" w:hAnsi="Arial"/>
          <w:sz w:val="16"/>
          <w:szCs w:val="16"/>
          <w:color w:val="auto"/>
        </w:rPr>
        <w:t>Current period other comprehensive income (loss) Balances at December 31, 2012</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Net Unrealized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Net Unrealized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Gain (Loss) 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Gain (Loss) on</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Pension Plan</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Derivative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Nonderivative</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Benefit Liability</w:t>
            </w: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Comprehensive</w:t>
            </w:r>
          </w:p>
        </w:tc>
      </w:tr>
      <w:tr>
        <w:trPr>
          <w:trHeight w:val="210"/>
        </w:trPr>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Instruments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Income (Loss)</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98,165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(8,961)</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(21,339)</w:t>
            </w: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71,130</w:t>
            </w:r>
          </w:p>
        </w:tc>
      </w:tr>
      <w:tr>
        <w:trPr>
          <w:trHeight w:val="270"/>
        </w:trPr>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(124,191)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4,441</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500" w:type="dxa"/>
            <w:vAlign w:val="bottom"/>
            <w:gridSpan w:val="2"/>
          </w:tcPr>
          <w:p>
            <w:pPr>
              <w:ind w:left="660"/>
              <w:spacing w:after="0"/>
              <w:rPr>
                <w:sz w:val="20"/>
                <w:szCs w:val="20"/>
                <w:color w:val="auto"/>
              </w:rPr>
            </w:pPr>
            <w:r>
              <w:rPr>
                <w:rFonts w:ascii="Arial" w:cs="Arial" w:eastAsia="Arial" w:hAnsi="Arial"/>
                <w:sz w:val="16"/>
                <w:szCs w:val="16"/>
                <w:color w:val="auto"/>
              </w:rPr>
              <w:t>15,825  —</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(106,104)</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(26,026)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(4,520)</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(5,514)</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(34,974)</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15"/>
        </w:trPr>
        <w:tc>
          <w:tcPr>
            <w:tcW w:w="16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4,520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(8,866)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(2,186)</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(24,718)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(14,380)</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1,938</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(37,160)</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15"/>
        </w:trPr>
        <w:tc>
          <w:tcPr>
            <w:tcW w:w="16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21,405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(16,940)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2,776</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(1,689)</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(14,380)</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(15,002)</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(34,384)</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-1654810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-1311275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-925830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-574040</wp:posOffset>
            </wp:positionV>
            <wp:extent cx="72466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-196850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300" w:space="520"/>
            <w:col w:w="7600"/>
          </w:cols>
          <w:pgMar w:left="240" w:top="125"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The before-tax amount, income tax (provision) benefit, and net-of-tax amount related to each component of other comprehensive income (loss) during the reporting periods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9"/>
              <w:spacing w:after="0"/>
              <w:rPr>
                <w:sz w:val="20"/>
                <w:szCs w:val="20"/>
                <w:color w:val="auto"/>
              </w:rPr>
            </w:pPr>
            <w:r>
              <w:rPr>
                <w:rFonts w:ascii="Arial" w:cs="Arial" w:eastAsia="Arial" w:hAnsi="Arial"/>
                <w:sz w:val="16"/>
                <w:szCs w:val="16"/>
                <w:b w:val="1"/>
                <w:bCs w:val="1"/>
                <w:color w:val="auto"/>
                <w:w w:val="91"/>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84"/>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2010</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(121,031)</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(4,541)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25,760</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(3,074)</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(91,057)</w:t>
            </w:r>
          </w:p>
        </w:tc>
      </w:tr>
      <w:tr>
        <w:trPr>
          <w:trHeight w:val="459"/>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(3,160)</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1,611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(9,935)</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(4,458)</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(15,047)</w:t>
            </w:r>
          </w:p>
        </w:tc>
      </w:tr>
      <w:tr>
        <w:trPr>
          <w:trHeight w:val="459"/>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(124,191)</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(2,930)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15,825</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7,371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2,776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(106,104)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December 31, 2012 and 2011 do not reflect subsequent changes in the economy, interest rates, tax rates, and other variables that may affect the determination of fair value.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2012</w:t>
            </w:r>
          </w:p>
        </w:tc>
        <w:tc>
          <w:tcPr>
            <w:tcW w:w="700" w:type="dxa"/>
            <w:vAlign w:val="bottom"/>
          </w:tcPr>
          <w:p>
            <w:pPr>
              <w:spacing w:after="0"/>
              <w:rPr>
                <w:sz w:val="20"/>
                <w:szCs w:val="20"/>
                <w:color w:val="auto"/>
              </w:rPr>
            </w:pPr>
          </w:p>
        </w:tc>
        <w:tc>
          <w:tcPr>
            <w:tcW w:w="25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2011</w:t>
            </w:r>
          </w:p>
        </w:tc>
      </w:tr>
      <w:tr>
        <w:trPr>
          <w:trHeight w:val="27"/>
        </w:trPr>
        <w:tc>
          <w:tcPr>
            <w:tcW w:w="466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Carrying Amount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Carrying Amount</w:t>
            </w:r>
          </w:p>
        </w:tc>
        <w:tc>
          <w:tcPr>
            <w:tcW w:w="26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color w:val="auto"/>
              </w:rPr>
              <w:t>Assets</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46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136,411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136,411</w:t>
            </w:r>
          </w:p>
        </w:tc>
        <w:tc>
          <w:tcPr>
            <w:tcW w:w="120" w:type="dxa"/>
            <w:vAlign w:val="bottom"/>
          </w:tcPr>
          <w:p>
            <w:pPr>
              <w:spacing w:after="0"/>
              <w:rPr>
                <w:sz w:val="23"/>
                <w:szCs w:val="23"/>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133,086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133,086</w:t>
            </w: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forwards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84"/>
        </w:trPr>
        <w:tc>
          <w:tcPr>
            <w:tcW w:w="4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2011 credit facility</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USD denominated term loan</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275,365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296,856</w:t>
            </w:r>
          </w:p>
        </w:tc>
      </w:tr>
      <w:tr>
        <w:trPr>
          <w:trHeight w:val="243"/>
        </w:trPr>
        <w:tc>
          <w:tcPr>
            <w:tcW w:w="4660" w:type="dxa"/>
            <w:vAlign w:val="bottom"/>
          </w:tcPr>
          <w:p>
            <w:pPr>
              <w:ind w:left="620"/>
              <w:spacing w:after="0"/>
              <w:rPr>
                <w:sz w:val="20"/>
                <w:szCs w:val="20"/>
                <w:color w:val="auto"/>
              </w:rPr>
            </w:pPr>
            <w:r>
              <w:rPr>
                <w:rFonts w:ascii="Arial" w:cs="Arial" w:eastAsia="Arial" w:hAnsi="Arial"/>
                <w:sz w:val="18"/>
                <w:szCs w:val="18"/>
                <w:color w:val="auto"/>
              </w:rPr>
              <w:t>Multicurrency revolving line of credit</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138,751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163,269</w:t>
            </w: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Foreign exchange forwards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2011 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operate under the Itron brand worldwide and manage and report under two operating segments, Energy and Water. A transition to the new organizational structure, including changes to operations, as well as financial and management systems, was completed in the first quarter of 2012.</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Energy operating segment includes our global electricity and gas businesses, while the Water operating segment includes our global water and heat businesses.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Table of Contents</w:t>
              </w:r>
            </w:hyperlink>
          </w:p>
        </w:tc>
        <w:tc>
          <w:tcPr>
            <w:tcW w:w="100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r>
      <w:tr>
        <w:trPr>
          <w:trHeight w:val="480"/>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86"/>
              </w:rPr>
              <w:t>Segment Products</w:t>
            </w:r>
          </w:p>
        </w:tc>
        <w:tc>
          <w:tcPr>
            <w:tcW w:w="10000" w:type="dxa"/>
            <w:vAlign w:val="bottom"/>
          </w:tcPr>
          <w:p>
            <w:pPr>
              <w:spacing w:after="0"/>
              <w:rPr>
                <w:sz w:val="24"/>
                <w:szCs w:val="24"/>
                <w:color w:val="auto"/>
              </w:rPr>
            </w:pPr>
          </w:p>
        </w:tc>
      </w:tr>
      <w:tr>
        <w:trPr>
          <w:trHeight w:val="364"/>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Energy</w:t>
            </w:r>
          </w:p>
        </w:tc>
        <w:tc>
          <w:tcPr>
            <w:tcW w:w="10000" w:type="dxa"/>
            <w:vAlign w:val="bottom"/>
          </w:tcPr>
          <w:p>
            <w:pPr>
              <w:ind w:left="20"/>
              <w:spacing w:after="0"/>
              <w:rPr>
                <w:sz w:val="20"/>
                <w:szCs w:val="20"/>
                <w:color w:val="auto"/>
              </w:rPr>
            </w:pPr>
            <w:r>
              <w:rPr>
                <w:rFonts w:ascii="Arial" w:cs="Arial" w:eastAsia="Arial" w:hAnsi="Arial"/>
                <w:sz w:val="18"/>
                <w:szCs w:val="18"/>
                <w:color w:val="auto"/>
                <w:w w:val="90"/>
              </w:rPr>
              <w:t>Standard electricity (electromechanical and electronic) and gas meters; advanced electricity and gas meters and communication modules;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1"/>
              </w:rPr>
              <w:t>smart electricity meters; smart electricity and gas communication modules; prepayment systems, including smart key, keypad, and smart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card communication technologies; advanced systems including handheld, mobile, and fixed network collection technologies; smart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3"/>
              </w:rPr>
              <w:t>network  technologies;  meter  data  management  software;  knowledge  application  solutions;  and  professional  services  including</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implementation, installation, consulting, and analysis.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6"/>
          <w:szCs w:val="16"/>
          <w:i w:val="1"/>
          <w:iCs w:val="1"/>
          <w:color w:val="auto"/>
        </w:rPr>
        <w:t>Water</w:t>
      </w:r>
      <w:r>
        <w:rPr>
          <w:sz w:val="20"/>
          <w:szCs w:val="20"/>
          <w:color w:val="auto"/>
        </w:rPr>
        <w:tab/>
      </w:r>
      <w:r>
        <w:rPr>
          <w:rFonts w:ascii="Arial" w:cs="Arial" w:eastAsia="Arial" w:hAnsi="Arial"/>
          <w:sz w:val="16"/>
          <w:szCs w:val="16"/>
          <w:color w:val="auto"/>
        </w:rPr>
        <w:t>Standard water and heat meters; advanced and smart water meters and communication modules; advanced systems including handheld,</w:t>
      </w:r>
    </w:p>
    <w:p>
      <w:pPr>
        <w:spacing w:after="0" w:line="46" w:lineRule="exact"/>
        <w:rPr>
          <w:sz w:val="20"/>
          <w:szCs w:val="20"/>
          <w:color w:val="auto"/>
        </w:rPr>
      </w:pPr>
    </w:p>
    <w:p>
      <w:pPr>
        <w:ind w:left="1420" w:right="40"/>
        <w:spacing w:after="0" w:line="261" w:lineRule="auto"/>
        <w:rPr>
          <w:sz w:val="20"/>
          <w:szCs w:val="20"/>
          <w:color w:val="auto"/>
        </w:rPr>
      </w:pPr>
      <w:r>
        <w:rPr>
          <w:rFonts w:ascii="Arial" w:cs="Arial" w:eastAsia="Arial" w:hAnsi="Arial"/>
          <w:sz w:val="18"/>
          <w:szCs w:val="18"/>
          <w:color w:val="auto"/>
        </w:rPr>
        <w:t>mobile, and fixed network collection technologies; meter data management software; knowledge application solutions; and professional services including implementation, installation, consulting, analysis, and system management.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1,651,533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1,912,427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1,801,342</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Water</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526,645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521,697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457,929</w:t>
            </w:r>
          </w:p>
        </w:tc>
      </w:tr>
      <w:tr>
        <w:trPr>
          <w:trHeight w:val="27"/>
        </w:trPr>
        <w:tc>
          <w:tcPr>
            <w:tcW w:w="4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Company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2,178,178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2,434,124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2,259,271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Energy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530,396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578,575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541,900</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Water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158,775</w:t>
            </w:r>
          </w:p>
        </w:tc>
      </w:tr>
      <w:tr>
        <w:trPr>
          <w:trHeight w:val="237"/>
        </w:trPr>
        <w:tc>
          <w:tcPr>
            <w:tcW w:w="4340" w:type="dxa"/>
            <w:vAlign w:val="bottom"/>
          </w:tcPr>
          <w:p>
            <w:pPr>
              <w:ind w:left="720"/>
              <w:spacing w:after="0"/>
              <w:rPr>
                <w:sz w:val="20"/>
                <w:szCs w:val="20"/>
                <w:color w:val="auto"/>
              </w:rPr>
            </w:pPr>
            <w:r>
              <w:rPr>
                <w:rFonts w:ascii="Arial" w:cs="Arial" w:eastAsia="Arial" w:hAnsi="Arial"/>
                <w:sz w:val="18"/>
                <w:szCs w:val="18"/>
                <w:color w:val="auto"/>
              </w:rPr>
              <w:t>Total Company</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715,147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746,458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700,675</w:t>
            </w:r>
          </w:p>
        </w:tc>
      </w:tr>
      <w:tr>
        <w:trPr>
          <w:trHeight w:val="67"/>
        </w:trPr>
        <w:tc>
          <w:tcPr>
            <w:tcW w:w="43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51"/>
        </w:trPr>
        <w:tc>
          <w:tcPr>
            <w:tcW w:w="4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135,369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184,163</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Water</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(303,772)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43,611</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unallocated</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(43,577)</w:t>
            </w:r>
          </w:p>
        </w:tc>
      </w:tr>
      <w:tr>
        <w:trPr>
          <w:trHeight w:val="237"/>
        </w:trPr>
        <w:tc>
          <w:tcPr>
            <w:tcW w:w="4340" w:type="dxa"/>
            <w:vAlign w:val="bottom"/>
          </w:tcPr>
          <w:p>
            <w:pPr>
              <w:ind w:left="720"/>
              <w:spacing w:after="0"/>
              <w:rPr>
                <w:sz w:val="20"/>
                <w:szCs w:val="20"/>
                <w:color w:val="auto"/>
              </w:rPr>
            </w:pPr>
            <w:r>
              <w:rPr>
                <w:rFonts w:ascii="Arial" w:cs="Arial" w:eastAsia="Arial" w:hAnsi="Arial"/>
                <w:sz w:val="18"/>
                <w:szCs w:val="18"/>
                <w:color w:val="auto"/>
              </w:rPr>
              <w:t>Total Company</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151,126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(459,183)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184,197</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(59,752)</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136,219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(501,766)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124,445</w:t>
            </w: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2012, no single customer represented more than 10% of total Company or the Water operating segment revenues, and one customer accounted for more than 10% of the Energy operating segment revenues.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2011, no single customer represented more than 10% of total Company or the Water operating segment revenues, and one customer accounted for more than 10% of the Energy operating segment revenues.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2010, one customer from the Energy operating segment accounted for 11% of total Company revenues, and two customers each accounted for more than 10% of the Energy operating segment revenues. No single customer represented more than 10% of the Water operating segment revenues in 2010.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Revenues by region were as follows: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and Canada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1,014,739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1,182,775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1,168,523</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Europe, Middle East, and Africa (EMEA)</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878,615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899,642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803,154</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351,707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287,594</w:t>
            </w:r>
          </w:p>
        </w:tc>
      </w:tr>
      <w:tr>
        <w:trPr>
          <w:trHeight w:val="237"/>
        </w:trPr>
        <w:tc>
          <w:tcPr>
            <w:tcW w:w="43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2,178,178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2,434,124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2,259,271</w:t>
            </w: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82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08" w:right="239" w:bottom="825"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by geographic area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At December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r>
      <w:tr>
        <w:trPr>
          <w:trHeight w:val="27"/>
        </w:trPr>
        <w:tc>
          <w:tcPr>
            <w:tcW w:w="4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115,499</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Outside United States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156,823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155,517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183,743</w:t>
            </w:r>
          </w:p>
        </w:tc>
      </w:tr>
      <w:tr>
        <w:trPr>
          <w:trHeight w:val="27"/>
        </w:trPr>
        <w:tc>
          <w:tcPr>
            <w:tcW w:w="4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255,212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299,242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r>
      <w:tr>
        <w:trPr>
          <w:trHeight w:val="27"/>
        </w:trPr>
        <w:tc>
          <w:tcPr>
            <w:tcW w:w="4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82,081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97,827</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Water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32,313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33,376</w:t>
            </w:r>
          </w:p>
        </w:tc>
      </w:tr>
      <w:tr>
        <w:trPr>
          <w:trHeight w:val="27"/>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Unallocated</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340" w:type="dxa"/>
            <w:vAlign w:val="bottom"/>
          </w:tcPr>
          <w:p>
            <w:pPr>
              <w:ind w:left="380"/>
              <w:spacing w:after="0"/>
              <w:rPr>
                <w:sz w:val="20"/>
                <w:szCs w:val="20"/>
                <w:color w:val="auto"/>
              </w:rPr>
            </w:pPr>
            <w:r>
              <w:rPr>
                <w:rFonts w:ascii="Arial" w:cs="Arial" w:eastAsia="Arial" w:hAnsi="Arial"/>
                <w:sz w:val="18"/>
                <w:szCs w:val="18"/>
                <w:color w:val="auto"/>
              </w:rPr>
              <w:t>Total Company</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109,471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129,466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131,205</w:t>
            </w:r>
          </w:p>
        </w:tc>
      </w:tr>
      <w:tr>
        <w:trPr>
          <w:trHeight w:val="27"/>
        </w:trPr>
        <w:tc>
          <w:tcPr>
            <w:tcW w:w="4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Business Combinations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SmartSynch</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 2012, we completed our acquisition of 100% of SmartSynch. The acquisition was financed through borrowings on our multicurrency revolving line of credit and cash on hand. SmartSynch provides smart grid solutions that utilize cellular networks for communications. The acquisition strengthens our cellular communications offerings, and we believe the acquisition brings greater choice to utility customers across the spectrum of smart metering deployments.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preliminary purchase price for SmartSynch was $77.7 million in cash (net of $6.7 million of cash and cash equivalents acquired). We have made a preliminary allocation of the purchase price to the assets acquired and liabilities assumed based on estimated fair value assessments. We are continuing to collect information to determine the fair values of certain accrued liabilities associated with specific contracts and income taxes, which would affect goodwill. As a result, the fair values of these assets and liabilities are provisional until we are able to complete our assessment. The following reflects our preliminary allocation of purchase price as of the acquisition date, May 1, 2012:</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51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9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12,392</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1,642</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43,400</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46,101</w:t>
            </w:r>
          </w:p>
        </w:tc>
      </w:tr>
      <w:tr>
        <w:trPr>
          <w:trHeight w:val="33"/>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 acquired</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103,535</w:t>
            </w:r>
          </w:p>
        </w:tc>
      </w:tr>
      <w:tr>
        <w:trPr>
          <w:trHeight w:val="284"/>
        </w:trPr>
        <w:tc>
          <w:tcPr>
            <w:tcW w:w="9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25,343</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465</w:t>
            </w:r>
          </w:p>
        </w:tc>
      </w:tr>
      <w:tr>
        <w:trPr>
          <w:trHeight w:val="33"/>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assumed</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25,808</w:t>
            </w:r>
          </w:p>
        </w:tc>
      </w:tr>
      <w:tr>
        <w:trPr>
          <w:trHeight w:val="297"/>
        </w:trPr>
        <w:tc>
          <w:tcPr>
            <w:tcW w:w="94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4"/>
        </w:trPr>
        <w:tc>
          <w:tcPr>
            <w:tcW w:w="9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net assets acquired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77,727</w:t>
            </w:r>
          </w:p>
        </w:tc>
      </w:tr>
      <w:tr>
        <w:trPr>
          <w:trHeight w:val="20"/>
        </w:trPr>
        <w:tc>
          <w:tcPr>
            <w:tcW w:w="9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Current assets include the fair value of accounts receivable of $6.0 million, which equals its contractual balance as it is considered fully collectible.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92"/>
              </w:rPr>
              <w:t>Weighted Average Useful Life</w:t>
            </w:r>
          </w:p>
        </w:tc>
      </w:tr>
      <w:tr>
        <w:trPr>
          <w:trHeight w:val="33"/>
        </w:trPr>
        <w:tc>
          <w:tcPr>
            <w:tcW w:w="64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96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33"/>
        </w:trPr>
        <w:tc>
          <w:tcPr>
            <w:tcW w:w="6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Core-developed technology</w:t>
            </w: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15,100</w:t>
            </w:r>
          </w:p>
        </w:tc>
        <w:tc>
          <w:tcPr>
            <w:tcW w:w="30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7</w:t>
            </w:r>
          </w:p>
        </w:tc>
      </w:tr>
      <w:tr>
        <w:trPr>
          <w:trHeight w:val="237"/>
        </w:trPr>
        <w:tc>
          <w:tcPr>
            <w:tcW w:w="6400" w:type="dxa"/>
            <w:vAlign w:val="bottom"/>
          </w:tcPr>
          <w:p>
            <w:pPr>
              <w:ind w:left="200"/>
              <w:spacing w:after="0"/>
              <w:rPr>
                <w:sz w:val="20"/>
                <w:szCs w:val="20"/>
                <w:color w:val="auto"/>
              </w:rPr>
            </w:pPr>
            <w:r>
              <w:rPr>
                <w:rFonts w:ascii="Arial" w:cs="Arial" w:eastAsia="Arial" w:hAnsi="Arial"/>
                <w:sz w:val="16"/>
                <w:szCs w:val="16"/>
                <w:color w:val="auto"/>
              </w:rPr>
              <w:t>Customer contracts and relationships</w:t>
            </w:r>
          </w:p>
        </w:tc>
        <w:tc>
          <w:tcPr>
            <w:tcW w:w="13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8,900</w:t>
            </w:r>
          </w:p>
        </w:tc>
        <w:tc>
          <w:tcPr>
            <w:tcW w:w="30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11</w:t>
            </w:r>
          </w:p>
        </w:tc>
      </w:tr>
      <w:tr>
        <w:trPr>
          <w:trHeight w:val="33"/>
        </w:trPr>
        <w:tc>
          <w:tcPr>
            <w:tcW w:w="64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identified intangible assets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24,000</w:t>
            </w:r>
          </w:p>
        </w:tc>
        <w:tc>
          <w:tcPr>
            <w:tcW w:w="30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8</w:t>
            </w:r>
          </w:p>
        </w:tc>
      </w:tr>
      <w:tr>
        <w:trPr>
          <w:trHeight w:val="237"/>
        </w:trPr>
        <w:tc>
          <w:tcPr>
            <w:tcW w:w="6400" w:type="dxa"/>
            <w:vAlign w:val="bottom"/>
          </w:tcPr>
          <w:p>
            <w:pPr>
              <w:ind w:left="200"/>
              <w:spacing w:after="0"/>
              <w:rPr>
                <w:sz w:val="20"/>
                <w:szCs w:val="20"/>
                <w:color w:val="auto"/>
              </w:rPr>
            </w:pPr>
            <w:r>
              <w:rPr>
                <w:rFonts w:ascii="Arial" w:cs="Arial" w:eastAsia="Arial" w:hAnsi="Arial"/>
                <w:sz w:val="16"/>
                <w:szCs w:val="16"/>
                <w:color w:val="auto"/>
              </w:rPr>
              <w:t>In-process research and development</w:t>
            </w:r>
          </w:p>
        </w:tc>
        <w:tc>
          <w:tcPr>
            <w:tcW w:w="13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19,400</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identified intangible assets</w:t>
            </w: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43,400</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r>
      <w:tr>
        <w:trPr>
          <w:trHeight w:val="20"/>
        </w:trPr>
        <w:tc>
          <w:tcPr>
            <w:tcW w:w="6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for the identified intangible assets were estimated using the income approach. Under the income approach, the fair value reflects the present value of the projected cash flows that are expected to be generated. The intangible assets will be amortized using the estimated discounted cash flows assumed in the valuation models. Existing technology represents the fair values of SmartSynch products that have reached technological feasibility and were part of SmartSynch's product offerings at the date of the acquisition. Customer contracts and relationships represent the fair value SmartSynch developed with its customers, including backlog.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IPR&amp;D assets acquired represent the fair value of SmartSynch research and development projects that had not yet reached technological feasibility and consist primarily of projects to upgrade the hardware components of cellular communication modules to be compatible with 3G cellular network standards. These projects are expected to be completed in the next six months. Incremental costs to be incurred for these projects, currently estimated at $125,000, will be expensed as incurred in product development operating expenses. Once the projects are completed, they will be amortized over the expected life of the technology, which is expected to be seven years.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of $46.1 million arising from the acquisition consists largely of the synergies expected from combining the operations of Itron and SmartSynch, as well as certain intangible assets that do not qualify for separate recognition. Based on synergies expected to be realized by the Electricity and Gas reporting units within the Energy operating segment, $36.5 million was assigned to the Electricity reporting unit and $9.6 million was assigned to the Gas reporting unit. The entire goodwill balance is expected to be deductible for income tax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Itron's acquisition related expenses of $3.0 million were recognized during the year ended December 31, 2012 and are included in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revenues and net income (loss) from SmartSynch's operations that are included in our 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May 1, 2012 - December 31, 2012</w:t>
            </w:r>
          </w:p>
        </w:tc>
      </w:tr>
      <w:tr>
        <w:trPr>
          <w:trHeight w:val="33"/>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17"/>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jc w:val="right"/>
              <w:ind w:right="7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21,808</w:t>
            </w:r>
          </w:p>
        </w:tc>
      </w:tr>
      <w:tr>
        <w:trPr>
          <w:trHeight w:val="224"/>
        </w:trPr>
        <w:tc>
          <w:tcPr>
            <w:tcW w:w="28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(8,092)</w:t>
            </w:r>
          </w:p>
        </w:tc>
      </w:tr>
    </w:tbl>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supplemental pro forma results are based on the individual historical results of Itron and SmartSynch, with adjustments to give effect to the combined operations as if the acquisition had been consummated on January 1, 2011.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3000" w:type="dxa"/>
            <w:vAlign w:val="bottom"/>
            <w:gridSpan w:val="3"/>
          </w:tcPr>
          <w:p>
            <w:pPr>
              <w:jc w:val="center"/>
              <w:ind w:left="679"/>
              <w:spacing w:after="0"/>
              <w:rPr>
                <w:sz w:val="20"/>
                <w:szCs w:val="20"/>
                <w:color w:val="auto"/>
              </w:rPr>
            </w:pPr>
            <w:r>
              <w:rPr>
                <w:rFonts w:ascii="Arial" w:cs="Arial" w:eastAsia="Arial" w:hAnsi="Arial"/>
                <w:sz w:val="16"/>
                <w:szCs w:val="16"/>
                <w:b w:val="1"/>
                <w:bCs w:val="1"/>
                <w:color w:val="auto"/>
                <w:w w:val="91"/>
              </w:rPr>
              <w:t>Year Ended December 31,</w:t>
            </w:r>
          </w:p>
        </w:tc>
        <w:tc>
          <w:tcPr>
            <w:tcW w:w="740" w:type="dxa"/>
            <w:vAlign w:val="bottom"/>
          </w:tcPr>
          <w:p>
            <w:pPr>
              <w:spacing w:after="0"/>
              <w:rPr>
                <w:sz w:val="18"/>
                <w:szCs w:val="18"/>
                <w:color w:val="auto"/>
              </w:rPr>
            </w:pPr>
          </w:p>
        </w:tc>
      </w:tr>
      <w:tr>
        <w:trPr>
          <w:trHeight w:val="33"/>
        </w:trPr>
        <w:tc>
          <w:tcPr>
            <w:tcW w:w="3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3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740" w:type="dxa"/>
            <w:vAlign w:val="bottom"/>
          </w:tcPr>
          <w:p>
            <w:pPr>
              <w:spacing w:after="0"/>
              <w:rPr>
                <w:sz w:val="20"/>
                <w:szCs w:val="20"/>
                <w:color w:val="auto"/>
              </w:rPr>
            </w:pPr>
          </w:p>
        </w:tc>
      </w:tr>
      <w:tr>
        <w:trPr>
          <w:trHeight w:val="33"/>
        </w:trPr>
        <w:tc>
          <w:tcPr>
            <w:tcW w:w="3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3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0"/>
              </w:rPr>
              <w:t>(in thousands)</w:t>
            </w:r>
          </w:p>
        </w:tc>
        <w:tc>
          <w:tcPr>
            <w:tcW w:w="740" w:type="dxa"/>
            <w:vAlign w:val="bottom"/>
          </w:tcPr>
          <w:p>
            <w:pPr>
              <w:spacing w:after="0"/>
              <w:rPr>
                <w:sz w:val="18"/>
                <w:szCs w:val="18"/>
                <w:color w:val="auto"/>
              </w:rPr>
            </w:pPr>
          </w:p>
        </w:tc>
      </w:tr>
      <w:tr>
        <w:trPr>
          <w:trHeight w:val="33"/>
        </w:trPr>
        <w:tc>
          <w:tcPr>
            <w:tcW w:w="3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2,189,232</w:t>
            </w:r>
          </w:p>
        </w:tc>
        <w:tc>
          <w:tcPr>
            <w:tcW w:w="116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2,464,326</w:t>
            </w: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100,994</w:t>
            </w:r>
          </w:p>
        </w:tc>
        <w:tc>
          <w:tcPr>
            <w:tcW w:w="1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(523,505)</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net of the estimated tax impact, include the following:</w:t>
      </w:r>
    </w:p>
    <w:p>
      <w:pPr>
        <w:spacing w:after="0" w:line="23" w:lineRule="exact"/>
        <w:rPr>
          <w:sz w:val="20"/>
          <w:szCs w:val="20"/>
          <w:color w:val="auto"/>
        </w:rPr>
      </w:pP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Elimination from the supplemental pro forma net income of acquisition-related expenses incurred by SmartSynch prior to the acquisition and by Itron pre- and post-acquisition totaling $5.1 million for the year ended December 31,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Quarterly Results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2012</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Statement of operations data: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 attributable to Itron, Inc.</w:t>
      </w:r>
    </w:p>
    <w:p>
      <w:pPr>
        <w:spacing w:after="0" w:line="379" w:lineRule="exact"/>
        <w:rPr>
          <w:sz w:val="20"/>
          <w:szCs w:val="20"/>
          <w:color w:val="auto"/>
        </w:rPr>
      </w:pPr>
    </w:p>
    <w:p>
      <w:pPr>
        <w:ind w:left="380" w:right="140"/>
        <w:spacing w:after="0" w:line="486" w:lineRule="auto"/>
        <w:rPr>
          <w:sz w:val="20"/>
          <w:szCs w:val="20"/>
          <w:color w:val="auto"/>
        </w:rPr>
      </w:pPr>
      <w:r>
        <w:rPr>
          <w:rFonts w:ascii="Arial" w:cs="Arial" w:eastAsia="Arial" w:hAnsi="Arial"/>
          <w:sz w:val="13"/>
          <w:szCs w:val="13"/>
          <w:color w:val="auto"/>
        </w:rPr>
        <w:t>Earnings (loss) per common share - Basic Earnings (loss) per common share - Diluted</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Stock Price: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High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Low</w:t>
      </w: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2011</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Statement of operations data: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 attributable to Itron, Inc.</w:t>
      </w:r>
    </w:p>
    <w:p>
      <w:pPr>
        <w:spacing w:after="0" w:line="379" w:lineRule="exact"/>
        <w:rPr>
          <w:sz w:val="20"/>
          <w:szCs w:val="20"/>
          <w:color w:val="auto"/>
        </w:rPr>
      </w:pPr>
    </w:p>
    <w:p>
      <w:pPr>
        <w:ind w:left="380" w:right="140"/>
        <w:spacing w:after="0" w:line="486" w:lineRule="auto"/>
        <w:rPr>
          <w:sz w:val="20"/>
          <w:szCs w:val="20"/>
          <w:color w:val="auto"/>
        </w:rPr>
      </w:pPr>
      <w:r>
        <w:rPr>
          <w:rFonts w:ascii="Arial" w:cs="Arial" w:eastAsia="Arial" w:hAnsi="Arial"/>
          <w:sz w:val="13"/>
          <w:szCs w:val="13"/>
          <w:color w:val="auto"/>
        </w:rPr>
        <w:t>Earnings (loss) per common share - Basic Earnings (loss) per common share - Diluted</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Stock Price: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High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7"/>
              </w:rPr>
              <w:t>Second Quarter</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9"/>
              </w:rPr>
              <w:t>Fourth Quarter</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 Year</w:t>
            </w:r>
          </w:p>
        </w:tc>
      </w:tr>
      <w:tr>
        <w:trPr>
          <w:trHeight w:val="190"/>
        </w:trPr>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8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w w:val="97"/>
              </w:rPr>
              <w:t>(in thousands, except per common share and stock price data)</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0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571,640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579,140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504,063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523,335</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2,178,178</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183,105</w:t>
            </w:r>
          </w:p>
        </w:tc>
        <w:tc>
          <w:tcPr>
            <w:tcW w:w="260" w:type="dxa"/>
            <w:vAlign w:val="bottom"/>
          </w:tcPr>
          <w:p>
            <w:pPr>
              <w:spacing w:after="0"/>
              <w:rPr>
                <w:sz w:val="23"/>
                <w:szCs w:val="23"/>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196,745</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171,797</w:t>
            </w:r>
          </w:p>
        </w:tc>
        <w:tc>
          <w:tcPr>
            <w:tcW w:w="220" w:type="dxa"/>
            <w:vAlign w:val="bottom"/>
          </w:tcPr>
          <w:p>
            <w:pPr>
              <w:spacing w:after="0"/>
              <w:rPr>
                <w:sz w:val="23"/>
                <w:szCs w:val="23"/>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163,500</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715,147</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25,353</w:t>
            </w:r>
          </w:p>
        </w:tc>
        <w:tc>
          <w:tcPr>
            <w:tcW w:w="260" w:type="dxa"/>
            <w:vAlign w:val="bottom"/>
          </w:tcPr>
          <w:p>
            <w:pPr>
              <w:spacing w:after="0"/>
              <w:rPr>
                <w:sz w:val="23"/>
                <w:szCs w:val="23"/>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31,615</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35,347</w:t>
            </w:r>
          </w:p>
        </w:tc>
        <w:tc>
          <w:tcPr>
            <w:tcW w:w="220" w:type="dxa"/>
            <w:vAlign w:val="bottom"/>
          </w:tcPr>
          <w:p>
            <w:pPr>
              <w:spacing w:after="0"/>
              <w:rPr>
                <w:sz w:val="23"/>
                <w:szCs w:val="23"/>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15,960</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108,275</w:t>
            </w:r>
          </w:p>
        </w:tc>
      </w:tr>
      <w:tr>
        <w:trPr>
          <w:trHeight w:val="54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0.64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0.79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0.90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0.40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2.73</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0.63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0.79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0.89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0.40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2.71</w:t>
            </w:r>
          </w:p>
        </w:tc>
      </w:tr>
      <w:tr>
        <w:trPr>
          <w:trHeight w:val="810"/>
        </w:trPr>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48.23</w:t>
            </w:r>
          </w:p>
        </w:tc>
        <w:tc>
          <w:tcPr>
            <w:tcW w:w="260" w:type="dxa"/>
            <w:vAlign w:val="bottom"/>
          </w:tcPr>
          <w:p>
            <w:pPr>
              <w:spacing w:after="0"/>
              <w:rPr>
                <w:sz w:val="24"/>
                <w:szCs w:val="24"/>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45.42</w:t>
            </w:r>
          </w:p>
        </w:tc>
        <w:tc>
          <w:tcPr>
            <w:tcW w:w="300" w:type="dxa"/>
            <w:vAlign w:val="bottom"/>
          </w:tcPr>
          <w:p>
            <w:pPr>
              <w:spacing w:after="0"/>
              <w:rPr>
                <w:sz w:val="24"/>
                <w:szCs w:val="24"/>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45.85</w:t>
            </w:r>
          </w:p>
        </w:tc>
        <w:tc>
          <w:tcPr>
            <w:tcW w:w="220" w:type="dxa"/>
            <w:vAlign w:val="bottom"/>
          </w:tcPr>
          <w:p>
            <w:pPr>
              <w:spacing w:after="0"/>
              <w:rPr>
                <w:sz w:val="24"/>
                <w:szCs w:val="24"/>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45.26</w:t>
            </w:r>
          </w:p>
        </w:tc>
        <w:tc>
          <w:tcPr>
            <w:tcW w:w="32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48.23</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36.60</w:t>
            </w:r>
          </w:p>
        </w:tc>
        <w:tc>
          <w:tcPr>
            <w:tcW w:w="260" w:type="dxa"/>
            <w:vAlign w:val="bottom"/>
          </w:tcPr>
          <w:p>
            <w:pPr>
              <w:spacing w:after="0"/>
              <w:rPr>
                <w:sz w:val="23"/>
                <w:szCs w:val="23"/>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33.50</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38.28</w:t>
            </w:r>
          </w:p>
        </w:tc>
        <w:tc>
          <w:tcPr>
            <w:tcW w:w="220" w:type="dxa"/>
            <w:vAlign w:val="bottom"/>
          </w:tcPr>
          <w:p>
            <w:pPr>
              <w:spacing w:after="0"/>
              <w:rPr>
                <w:sz w:val="23"/>
                <w:szCs w:val="23"/>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38.71</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33.50</w:t>
            </w:r>
          </w:p>
        </w:tc>
      </w:tr>
      <w:tr>
        <w:trPr>
          <w:trHeight w:val="128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563,691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612,401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615,555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642,477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2,434,124</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184,978</w:t>
            </w:r>
          </w:p>
        </w:tc>
        <w:tc>
          <w:tcPr>
            <w:tcW w:w="260" w:type="dxa"/>
            <w:vAlign w:val="bottom"/>
          </w:tcPr>
          <w:p>
            <w:pPr>
              <w:spacing w:after="0"/>
              <w:rPr>
                <w:sz w:val="23"/>
                <w:szCs w:val="23"/>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191,951</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176,996</w:t>
            </w:r>
          </w:p>
        </w:tc>
        <w:tc>
          <w:tcPr>
            <w:tcW w:w="220" w:type="dxa"/>
            <w:vAlign w:val="bottom"/>
          </w:tcPr>
          <w:p>
            <w:pPr>
              <w:spacing w:after="0"/>
              <w:rPr>
                <w:sz w:val="23"/>
                <w:szCs w:val="23"/>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192,533</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746,458</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27,120</w:t>
            </w:r>
          </w:p>
        </w:tc>
        <w:tc>
          <w:tcPr>
            <w:tcW w:w="260" w:type="dxa"/>
            <w:vAlign w:val="bottom"/>
          </w:tcPr>
          <w:p>
            <w:pPr>
              <w:spacing w:after="0"/>
              <w:rPr>
                <w:sz w:val="23"/>
                <w:szCs w:val="23"/>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34,436</w:t>
            </w:r>
          </w:p>
        </w:tc>
        <w:tc>
          <w:tcPr>
            <w:tcW w:w="3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(517,082)</w:t>
            </w:r>
          </w:p>
        </w:tc>
        <w:tc>
          <w:tcPr>
            <w:tcW w:w="2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(54,631)</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(510,157)</w:t>
            </w:r>
          </w:p>
        </w:tc>
      </w:tr>
      <w:tr>
        <w:trPr>
          <w:trHeight w:val="54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0.67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0.85</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(12.70)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(12.56)</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0.66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0.84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(12.70)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(12.56)</w:t>
            </w:r>
          </w:p>
        </w:tc>
      </w:tr>
      <w:tr>
        <w:trPr>
          <w:trHeight w:val="810"/>
        </w:trPr>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64.04</w:t>
            </w:r>
          </w:p>
        </w:tc>
        <w:tc>
          <w:tcPr>
            <w:tcW w:w="260" w:type="dxa"/>
            <w:vAlign w:val="bottom"/>
          </w:tcPr>
          <w:p>
            <w:pPr>
              <w:spacing w:after="0"/>
              <w:rPr>
                <w:sz w:val="24"/>
                <w:szCs w:val="24"/>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55.99</w:t>
            </w:r>
          </w:p>
        </w:tc>
        <w:tc>
          <w:tcPr>
            <w:tcW w:w="300" w:type="dxa"/>
            <w:vAlign w:val="bottom"/>
          </w:tcPr>
          <w:p>
            <w:pPr>
              <w:spacing w:after="0"/>
              <w:rPr>
                <w:sz w:val="24"/>
                <w:szCs w:val="24"/>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49.40</w:t>
            </w:r>
          </w:p>
        </w:tc>
        <w:tc>
          <w:tcPr>
            <w:tcW w:w="220" w:type="dxa"/>
            <w:vAlign w:val="bottom"/>
          </w:tcPr>
          <w:p>
            <w:pPr>
              <w:spacing w:after="0"/>
              <w:rPr>
                <w:sz w:val="24"/>
                <w:szCs w:val="24"/>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38.49</w:t>
            </w:r>
          </w:p>
        </w:tc>
        <w:tc>
          <w:tcPr>
            <w:tcW w:w="32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64.04</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51.12</w:t>
            </w:r>
          </w:p>
        </w:tc>
        <w:tc>
          <w:tcPr>
            <w:tcW w:w="260" w:type="dxa"/>
            <w:vAlign w:val="bottom"/>
          </w:tcPr>
          <w:p>
            <w:pPr>
              <w:spacing w:after="0"/>
              <w:rPr>
                <w:sz w:val="23"/>
                <w:szCs w:val="23"/>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46.68</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29.50</w:t>
            </w:r>
          </w:p>
        </w:tc>
        <w:tc>
          <w:tcPr>
            <w:tcW w:w="220" w:type="dxa"/>
            <w:vAlign w:val="bottom"/>
          </w:tcPr>
          <w:p>
            <w:pPr>
              <w:spacing w:after="0"/>
              <w:rPr>
                <w:sz w:val="23"/>
                <w:szCs w:val="23"/>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27.52</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-4065270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-3722370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-3379470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-3035935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-2693035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-2350135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-1878330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-1535430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-1192530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-849630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-506095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-163195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500"/>
            <w:col w:w="7880"/>
          </w:cols>
          <w:pgMar w:left="240" w:top="125" w:right="239" w:bottom="1440" w:gutter="0" w:footer="0" w:header="0"/>
          <w:type w:val="continuous"/>
        </w:sect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2011, we incurred a goodwill impairment charge of $584.8 million. In addition, restructuring projects were approved to increase efficiency and lower our cost of manufacturing, for which we incurred costs of $1.7 million in 2012 and $68.1 million in 2011.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2012, or in any period subsequent to such date, through the date of this report.</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75"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2012,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46" w:lineRule="exact"/>
        <w:rPr>
          <w:rFonts w:ascii="Arial" w:cs="Arial" w:eastAsia="Arial" w:hAnsi="Arial"/>
          <w:sz w:val="18"/>
          <w:szCs w:val="18"/>
          <w:b w:val="1"/>
          <w:bCs w:val="1"/>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9" w:lineRule="exact"/>
        <w:rPr>
          <w:rFonts w:ascii="Arial" w:cs="Arial" w:eastAsia="Arial" w:hAnsi="Arial"/>
          <w:sz w:val="18"/>
          <w:szCs w:val="18"/>
          <w:b w:val="1"/>
          <w:bCs w:val="1"/>
          <w:color w:val="auto"/>
        </w:rPr>
      </w:pPr>
    </w:p>
    <w:p>
      <w:pPr>
        <w:jc w:val="both"/>
        <w:ind w:left="660" w:hanging="328"/>
        <w:spacing w:after="0" w:line="273"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management is responsible for establishing and maintaining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concluded that our internal control over financial reporting was effective as of December 31, 2012.</w:t>
      </w:r>
    </w:p>
    <w:p>
      <w:pPr>
        <w:spacing w:after="0" w:line="124"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The effectiveness of our internal control over financial reporting as of December 31, 2012 has been audited by Ernst &amp; Young LLP, an independent registered public accounting firm, as stated in their report that is included in this Annual Report on Form 10-K.</w:t>
      </w:r>
    </w:p>
    <w:p>
      <w:pPr>
        <w:spacing w:after="0" w:line="143" w:lineRule="exact"/>
        <w:rPr>
          <w:rFonts w:ascii="Arial" w:cs="Arial" w:eastAsia="Arial" w:hAnsi="Arial"/>
          <w:sz w:val="17"/>
          <w:szCs w:val="17"/>
          <w:color w:val="auto"/>
        </w:rPr>
      </w:pPr>
    </w:p>
    <w:p>
      <w:pPr>
        <w:jc w:val="both"/>
        <w:ind w:left="660" w:hanging="328"/>
        <w:spacing w:after="0" w:line="288"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 Company’s disclosure controls, including the Company’s internal controls,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 reasonable level of assurance that the stated objectives are met. We concluded, as stated in (a) above, that the Company’s internal control over financial reporting was effective in providing this reasonable level of assurance as of December 31, 2012. The Company’s management, including the Chief Executive Officer and Chief Financial Officer, does not expect that the Company’s disclosure controls or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prevented or detected. These inherent limitations include the fact that judgments in decision-making can be faulty. Additionally, controls can be circumvented by the individual acts of some persons, by collusion of two or more people, or by management override of the control. Because of the inherent limitations in a control system, misstatements due to error or fraud may occur and not be prevented or detected.</w:t>
      </w:r>
    </w:p>
    <w:p>
      <w:pPr>
        <w:spacing w:after="0" w:line="169" w:lineRule="exact"/>
        <w:rPr>
          <w:rFonts w:ascii="Arial" w:cs="Arial" w:eastAsia="Arial" w:hAnsi="Arial"/>
          <w:sz w:val="16"/>
          <w:szCs w:val="16"/>
          <w:color w:val="auto"/>
        </w:rPr>
      </w:pPr>
    </w:p>
    <w:p>
      <w:pPr>
        <w:jc w:val="both"/>
        <w:ind w:left="660"/>
        <w:spacing w:after="0" w:line="273" w:lineRule="auto"/>
        <w:rPr>
          <w:rFonts w:ascii="Arial" w:cs="Arial" w:eastAsia="Arial" w:hAnsi="Arial"/>
          <w:sz w:val="16"/>
          <w:szCs w:val="16"/>
          <w:color w:val="auto"/>
        </w:rPr>
      </w:pPr>
      <w:r>
        <w:rPr>
          <w:rFonts w:ascii="Arial" w:cs="Arial" w:eastAsia="Arial" w:hAnsi="Arial"/>
          <w:sz w:val="17"/>
          <w:szCs w:val="17"/>
          <w:color w:val="auto"/>
        </w:rPr>
        <w:t>We are in the process of upgrading our global enterprise resource planning software systems. During the quarter ended December 31, 2012, Management continued to update the design and documentation of internal control processes to supplement and complement existing internal controls and procedures relating to the implementation of an Oracle suite of financial applications for financial consolidations and management reporting during the first quarter of 2012. The implementation of these new applications resulted in changes to our internal controls over financial reporting. Management will continue to monitor, evaluate, and update the related processes and internal controls as necessary during the post-implementation period to ensure adequate internal control over financial reporting.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Other than as described above, there have been no changes in our internal control over financial reporting during the quarter ended December 31, 2012 that materially affected, or are reasonably likely to materially affect, internal control over financial reporting.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Report of Independent Registered Public Accounting Firm.</w:t>
      </w:r>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Itron, Inc.</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Itron, Inc.’s internal control over financial reporting as of December 31, 2012, based on criteria established in Internal Control—Integrated Framework issued by the Committee of Sponsoring Organizations of the Treadway Commission (the COSO criteria). Itron,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Itron, Inc. maintained, in all material respects, effective internal control over financial reporting as of December 31, 2012, based on the COSO criteria.</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Itron, Inc. as of December 31, 2012 and 2011, and the related consolidated statements of operations, comprehensive income (loss), equity, and cash flows for each of the three years in the period ended December 31, 2012 and our report dated February 21, 2013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was required to be disclosed in a report on Form 8-K during the fourth quarter of 2012 that was not reported.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“Proposal 1 – Election of Directors” appearing in our Proxy Statement for the Annual Meeting of Shareholders to be held on May 3, 2013 (the 2013 Proxy Statement) sets forth certain information with regard to our directors as required by Item 401 of Regulation S-K and is incorporated herein by reference.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“Management” in Part I of this Annual Report on Form 10-K.</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“Section 16(a) Beneficial Ownership Reporting Compliance” appearing in the 2013 Proxy Statement sets forth certain information as required by Item 405 of Regulation S-K and is incorporated herein by reference.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section entitled “Corporate Governance” appearing in the 2013 Proxy Statement sets forth certain information with respect to the Registrant’s code of conduct and ethics as required by Item 406 of Regulation S-K and is incorporated herein by reference. Our code of ethics can be accessed on our website, at </w:t>
      </w:r>
      <w:r>
        <w:rPr>
          <w:rFonts w:ascii="Arial" w:cs="Arial" w:eastAsia="Arial" w:hAnsi="Arial"/>
          <w:sz w:val="18"/>
          <w:szCs w:val="18"/>
          <w:u w:val="single" w:color="auto"/>
          <w:color w:val="auto"/>
        </w:rPr>
        <w:t>www.itron.com</w:t>
      </w:r>
      <w:r>
        <w:rPr>
          <w:rFonts w:ascii="Arial" w:cs="Arial" w:eastAsia="Arial" w:hAnsi="Arial"/>
          <w:sz w:val="18"/>
          <w:szCs w:val="18"/>
          <w:color w:val="auto"/>
        </w:rPr>
        <w:t xml:space="preserve"> under the Investors section.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Itron's board of directors during 2013, as set forth by Item 407(c)(3) of Regulation S-K.</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“Corporate Governance” appearing in the 2013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2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2013 Proxy Statement set forth certain information with respect to the compensation of directors and management of Itron as required by Item 402 of Regulation S-K and are incorporated herein by reference.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2013 Proxy Statement sets forth certain information regarding members of the Compensation Committee required by Item 407(e)(4) of Regulation S-K and is incorporated herein by reference.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2013 Proxy Statement sets forth certain information required by Item 407(e)(5) of Regulation S-K and is incorporated herein by reference.</w:t>
      </w:r>
    </w:p>
    <w:p>
      <w:pPr>
        <w:spacing w:after="0" w:line="220"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2013 Proxy Statement sets forth certain information required by Item 201(d) of Regulation S-K and is incorporated herein by reference.</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2013 Proxy Statement sets forth certain information with respect to the ownership of our common stock as required by Item 403 of Regulation S-K and is incorporated herein by reference.</w:t>
      </w:r>
    </w:p>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“Corporate Governance” appearing in the 2013 Proxy Statement sets forth certain information required by Item 404 of Regulation S-K and is incorporated herein by reference.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2013 Proxy Statement sets forth certain information with respect to director independence as required by Item 407(a) of Regulation S-K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2013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Schedule II: Valuation and Qualifying Accounts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Statement Schedules not listed above have been omitted because of the absence of conditions under which they are required or because the required information is included in the Consolidated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92"/>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Articles of Incorporation of Itron, Inc. (Filed as Exhibit 3.1 to Itron, Inc.’s Annual Report on Form 10-K,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27, 2003 -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Bylaws of Itron, Inc. (Filed as Exhibit 3.2 to Itron, Inc.’s Current Report on Form 8-K, filed on September 7, 2011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Credit Agreement dated August 5, 2011 among Itron, Inc. and a syndicate of banks led by Wells Fargo Bank, National Association,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JPMorgan Chase Bank, N.A., and J.P. Morgan Europe Limited. (Filed as Exhibit 4.1 to Itron, Inc.’s Current Report on Form 8-K,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August 8, 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Security Agreement dated August 5, 2011 among Itron, Inc. and Wells Fargo Bank, National Association. (Filed as Exhibit 4.2 to Itron,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Inc.’s Current Report on Form 8-K, filed on August 8, 2011 - File No. 0-22418)</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Amended and Restated Change in Control Severance Agreement for Executive Officers. *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Schedule of certain executive officers who are parties to Change in Control Severance Agreements with Itron, Inc. * (attached hereto)</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First Amendment to Change in Control Agreement between Itron, Inc. and Marcel Regnier. * (Filed as Exhibit 10.2 to Itron, Inc.’s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Current Report on Form 8-K, filed on April 2, 2012 -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Employee Agreement between Itron Holding France and Marcel Regnier. * (Filed as Exhibit 10.1 to Itron, Inc.’s Current Report on Form</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8-K, filed on April 2, 2012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Agreements between Itron, Inc. and certain directors and officers. * (Filed as Exhibit 10.9 to Itron, Inc.’s Annual</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10-K, filed on March 30, 2000 - File No. 0-22418)</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Schedule of directors and executive officers who are parties to Indemnification Agreements with Itron, Inc. * (attached hereto)</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2000 Stock Incentive Plan. (Filed as Appendix A to Itron, Inc.’s Proxy Statement for the 2007 Annual Meeting of</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26, 2007 -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2010 Stock Incentive Plan. (Filed as Appendix A to Itron, Inc.’s Proxy Statement for the 2010 Annual Meeting of Shareholders,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17,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Executive Management Incentive Plan. * (Filed as Appendix B to Itron, Inc.’s Proxy Statement for the 2010 Annual Meeting of</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17, 2010 - File No. 0-22418)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80" w:type="dxa"/>
            <w:vAlign w:val="bottom"/>
          </w:tcPr>
          <w:p>
            <w:pPr>
              <w:jc w:val="center"/>
              <w:ind w:right="2408"/>
              <w:spacing w:after="0"/>
              <w:rPr>
                <w:sz w:val="20"/>
                <w:szCs w:val="20"/>
                <w:color w:val="auto"/>
              </w:rPr>
            </w:pPr>
            <w:r>
              <w:rPr>
                <w:rFonts w:ascii="Arial" w:cs="Arial" w:eastAsia="Arial" w:hAnsi="Arial"/>
                <w:sz w:val="14"/>
                <w:szCs w:val="14"/>
                <w:b w:val="1"/>
                <w:bCs w:val="1"/>
                <w:color w:val="auto"/>
                <w:w w:val="98"/>
              </w:rPr>
              <w:t>Exhibit</w:t>
            </w:r>
          </w:p>
        </w:tc>
        <w:tc>
          <w:tcPr>
            <w:tcW w:w="3900" w:type="dxa"/>
            <w:vAlign w:val="bottom"/>
            <w:vMerge w:val="restart"/>
          </w:tcPr>
          <w:p>
            <w:pPr>
              <w:ind w:left="2480"/>
              <w:spacing w:after="0"/>
              <w:rPr>
                <w:sz w:val="20"/>
                <w:szCs w:val="20"/>
                <w:color w:val="auto"/>
              </w:rPr>
            </w:pPr>
            <w:r>
              <w:rPr>
                <w:rFonts w:ascii="Arial" w:cs="Arial" w:eastAsia="Arial" w:hAnsi="Arial"/>
                <w:sz w:val="14"/>
                <w:szCs w:val="14"/>
                <w:b w:val="1"/>
                <w:bCs w:val="1"/>
                <w:color w:val="auto"/>
                <w:w w:val="91"/>
              </w:rPr>
              <w:t>Description of Exhibits</w:t>
            </w:r>
          </w:p>
        </w:tc>
        <w:tc>
          <w:tcPr>
            <w:tcW w:w="0" w:type="dxa"/>
            <w:vAlign w:val="bottom"/>
          </w:tcPr>
          <w:p>
            <w:pPr>
              <w:spacing w:after="0"/>
              <w:rPr>
                <w:sz w:val="1"/>
                <w:szCs w:val="1"/>
                <w:color w:val="auto"/>
              </w:rPr>
            </w:pPr>
          </w:p>
        </w:tc>
      </w:tr>
      <w:tr>
        <w:trPr>
          <w:trHeight w:val="186"/>
        </w:trPr>
        <w:tc>
          <w:tcPr>
            <w:tcW w:w="2980" w:type="dxa"/>
            <w:vAlign w:val="bottom"/>
          </w:tcPr>
          <w:p>
            <w:pPr>
              <w:jc w:val="center"/>
              <w:ind w:right="2408"/>
              <w:spacing w:after="0"/>
              <w:rPr>
                <w:sz w:val="20"/>
                <w:szCs w:val="20"/>
                <w:color w:val="auto"/>
              </w:rPr>
            </w:pPr>
            <w:r>
              <w:rPr>
                <w:rFonts w:ascii="Arial" w:cs="Arial" w:eastAsia="Arial" w:hAnsi="Arial"/>
                <w:sz w:val="14"/>
                <w:szCs w:val="14"/>
                <w:b w:val="1"/>
                <w:bCs w:val="1"/>
                <w:color w:val="auto"/>
                <w:w w:val="94"/>
              </w:rPr>
              <w:t>Number</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p>
      <w:pPr>
        <w:jc w:val="right"/>
        <w:ind w:left="440" w:right="80"/>
        <w:spacing w:after="0" w:line="308" w:lineRule="auto"/>
        <w:rPr>
          <w:sz w:val="20"/>
          <w:szCs w:val="20"/>
          <w:color w:val="auto"/>
        </w:rPr>
      </w:pPr>
      <w:r>
        <w:rPr>
          <w:rFonts w:ascii="Arial" w:cs="Arial" w:eastAsia="Arial" w:hAnsi="Arial"/>
          <w:sz w:val="17"/>
          <w:szCs w:val="17"/>
          <w:color w:val="auto"/>
        </w:rPr>
        <w:t>10.10      Terms of the Amended and Restated Equity Grant Program for Nonemployee Directors under the Itron, Inc. Amended and Restated 2000 Stock Incentive Plan. (Filed as Exhibit 10.4 to Itron, Inc.’s Annual Report on Form 10-K, filed on February 26, 2008 - File No. 0-22418)</w:t>
      </w:r>
    </w:p>
    <w:p>
      <w:pPr>
        <w:spacing w:after="0" w:line="214" w:lineRule="exact"/>
        <w:rPr>
          <w:sz w:val="20"/>
          <w:szCs w:val="20"/>
          <w:color w:val="auto"/>
        </w:rPr>
      </w:pPr>
    </w:p>
    <w:p>
      <w:pPr>
        <w:ind w:left="1420" w:right="60" w:hanging="975"/>
        <w:spacing w:after="0" w:line="264" w:lineRule="auto"/>
        <w:tabs>
          <w:tab w:leader="none" w:pos="14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Non-Qualified Stock Option Grant Notice and Agreement for Nonemployee Directors under the Itron, Inc. Amended and Restated 2000 Stock Incentive Plan. (Filed as Exhibit 10.9 to Itron, Inc.’s Annual Report on Form 10-K, filed on February 26, 2009 - File No. 0-22418)</w:t>
      </w:r>
    </w:p>
    <w:p>
      <w:pPr>
        <w:spacing w:after="0" w:line="249" w:lineRule="exact"/>
        <w:rPr>
          <w:sz w:val="20"/>
          <w:szCs w:val="20"/>
          <w:color w:val="auto"/>
        </w:rPr>
      </w:pPr>
    </w:p>
    <w:p>
      <w:pPr>
        <w:ind w:left="1420" w:right="140" w:hanging="978"/>
        <w:spacing w:after="0" w:line="264" w:lineRule="auto"/>
        <w:tabs>
          <w:tab w:leader="none" w:pos="14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Stock Option Grant Notice and Agreement for use in connection with both incentive and non-qualified stock options granted under the Company’s Amended and Restated 2000 Stock Incentive Plan. * (Filed as Exhibit 10.6 to Itron, Inc.’s Current Report on Form 8-K, filed on February 18, 2010 - File No. 0-22418)</w:t>
      </w:r>
    </w:p>
    <w:p>
      <w:pPr>
        <w:spacing w:after="0" w:line="249" w:lineRule="exact"/>
        <w:rPr>
          <w:sz w:val="20"/>
          <w:szCs w:val="20"/>
          <w:color w:val="auto"/>
        </w:rPr>
      </w:pPr>
    </w:p>
    <w:p>
      <w:pPr>
        <w:jc w:val="both"/>
        <w:ind w:left="1420" w:right="100" w:hanging="978"/>
        <w:spacing w:after="0" w:line="264" w:lineRule="auto"/>
        <w:tabs>
          <w:tab w:leader="none" w:pos="14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Restricted Stock Unit Award Notice and Agreement for U.S. Participants for use in connection with the Company’s Long-Term Performance Plan (LTPP) and issued under the Company’s Amended and Restated 2000 Stock Incentive Plan. * (Filed as Exhibit 10.1 to Itron, Inc.’s Current Report on Form 8-K, filed on February 18, 2010 - File No. 0-22418)</w:t>
      </w:r>
    </w:p>
    <w:p>
      <w:pPr>
        <w:spacing w:after="0" w:line="249" w:lineRule="exact"/>
        <w:rPr>
          <w:sz w:val="20"/>
          <w:szCs w:val="20"/>
          <w:color w:val="auto"/>
        </w:rPr>
      </w:pPr>
    </w:p>
    <w:p>
      <w:pPr>
        <w:ind w:left="1420" w:right="140" w:hanging="978"/>
        <w:spacing w:after="0" w:line="264" w:lineRule="auto"/>
        <w:tabs>
          <w:tab w:leader="none" w:pos="14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Restricted Stock Unit Award Notice and Agreement for International Participants (excluding France) for use in connection with the Company’s LTPP and issued under the Company’s Amended and Restated 2000 Stock Incentive Plan. * (Filed as Exhibit 10.2 to Itron, Inc.’s Current Report on Form 8-K, filed on February 18, 2010 - File No. 0-22418)</w:t>
      </w:r>
    </w:p>
    <w:p>
      <w:pPr>
        <w:spacing w:after="0" w:line="249" w:lineRule="exact"/>
        <w:rPr>
          <w:sz w:val="20"/>
          <w:szCs w:val="20"/>
          <w:color w:val="auto"/>
        </w:rPr>
      </w:pPr>
    </w:p>
    <w:p>
      <w:pPr>
        <w:ind w:left="1420" w:hanging="978"/>
        <w:spacing w:after="0" w:line="264" w:lineRule="auto"/>
        <w:tabs>
          <w:tab w:leader="none" w:pos="14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Restricted Stock Unit Award Notice and Agreement for Participants in France for use in connection with the Company’s LTPP and issued under the Company’s Amended and Restated 2000 Stock Incentive Plan. * (Filed as Exhibit 10.3 to Itron, Inc.’s Current Report on Form 8-K, filed on February 18, 2010 - File No. 0-22418)</w:t>
      </w:r>
    </w:p>
    <w:p>
      <w:pPr>
        <w:spacing w:after="0" w:line="249" w:lineRule="exact"/>
        <w:rPr>
          <w:sz w:val="20"/>
          <w:szCs w:val="20"/>
          <w:color w:val="auto"/>
        </w:rPr>
      </w:pPr>
    </w:p>
    <w:p>
      <w:pPr>
        <w:ind w:left="1420" w:right="100" w:hanging="978"/>
        <w:spacing w:after="0" w:line="264" w:lineRule="auto"/>
        <w:tabs>
          <w:tab w:leader="none" w:pos="14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Restricted Stock Unit Award Notice and Agreement for all Participants (excluding France) for use in connection with the Company’s Amended and Restated 2000 Stock Incentive Plan. * (Filed as Exhibit 10.4 to Itron, Inc.’s Current Report on Form 8-K, filed on February 18, 2010 - File No. 0-22418)</w:t>
      </w:r>
    </w:p>
    <w:p>
      <w:pPr>
        <w:spacing w:after="0" w:line="249" w:lineRule="exact"/>
        <w:rPr>
          <w:sz w:val="20"/>
          <w:szCs w:val="20"/>
          <w:color w:val="auto"/>
        </w:rPr>
      </w:pPr>
    </w:p>
    <w:p>
      <w:pPr>
        <w:ind w:left="1420" w:right="60" w:hanging="978"/>
        <w:spacing w:after="0" w:line="264" w:lineRule="auto"/>
        <w:tabs>
          <w:tab w:leader="none" w:pos="14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Form of Restricted Stock Unit Award Notice and Agreement for Participants in France for use in connection with the Company’s Amended and Restated 2000 Stock Incentive Plan. * (Filed as Exhibit 10.5 to Itron, Inc.’s Current Report on Form 8-K, filed on February 18, 2010 - File No. 0-22418)</w:t>
      </w:r>
    </w:p>
    <w:p>
      <w:pPr>
        <w:spacing w:after="0" w:line="249" w:lineRule="exact"/>
        <w:rPr>
          <w:sz w:val="20"/>
          <w:szCs w:val="20"/>
          <w:color w:val="auto"/>
        </w:rPr>
      </w:pPr>
    </w:p>
    <w:p>
      <w:pPr>
        <w:jc w:val="both"/>
        <w:ind w:left="1420" w:right="120" w:hanging="978"/>
        <w:spacing w:after="0" w:line="264" w:lineRule="auto"/>
        <w:tabs>
          <w:tab w:leader="none" w:pos="14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Long Term Performance Restricted Stock Unit (RSU) Award Notice and Agreement for U.S. Participants for use in connection with the Company’s 2010 Stock Incentive Plan. * (Filed as Exhibit 10.18 to Itron, Inc.’s Annual Report on Form 10-K, filed on February 25, 2011 - File No. 0-22418)</w:t>
      </w:r>
    </w:p>
    <w:p>
      <w:pPr>
        <w:spacing w:after="0" w:line="249" w:lineRule="exact"/>
        <w:rPr>
          <w:sz w:val="20"/>
          <w:szCs w:val="20"/>
          <w:color w:val="auto"/>
        </w:rPr>
      </w:pPr>
    </w:p>
    <w:p>
      <w:pPr>
        <w:ind w:left="1420" w:right="200" w:hanging="978"/>
        <w:spacing w:after="0" w:line="264" w:lineRule="auto"/>
        <w:tabs>
          <w:tab w:leader="none" w:pos="14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Long Term Performance RSU Award Notice and Agreement for International Participants (excluding France) for use in connection with the Company’s 2010 Stock Incentive Plan. * (Filed as Exhibit 10.19 to Itron, Inc.’s Annual Report on Form 10-K, filed on February 25, 2011 - File No. 0-22418)</w:t>
      </w:r>
    </w:p>
    <w:p>
      <w:pPr>
        <w:spacing w:after="0" w:line="249"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Form of Long Term Performance RSU Award Notice and Agreement for Participants in France for use in connection with the Company’s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2010 Stock Incentive Plan. * (Filed as Exhibit 10.20 to Itron, Inc.’s Annual Report on Form 10-K, filed on February 25, 2011 - File No. 0-</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22418)</w:t>
      </w:r>
    </w:p>
    <w:p>
      <w:pPr>
        <w:spacing w:after="0" w:line="278" w:lineRule="exact"/>
        <w:rPr>
          <w:sz w:val="20"/>
          <w:szCs w:val="20"/>
          <w:color w:val="auto"/>
        </w:rPr>
      </w:pPr>
    </w:p>
    <w:p>
      <w:pPr>
        <w:ind w:left="1420" w:right="100" w:hanging="978"/>
        <w:spacing w:after="0" w:line="342" w:lineRule="auto"/>
        <w:tabs>
          <w:tab w:leader="none" w:pos="14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RSU Award Notice and Agreement for all Participants (excluding France) for use in connection with the Company’s 2010 Stock Incentive Plan. * (Filed as Exhibit 10.1 to Itron, Inc.’s Quarterly Report on Form 10-Q, filed on November 6, 2012 - File No. 0-22418)</w:t>
      </w:r>
    </w:p>
    <w:p>
      <w:pPr>
        <w:spacing w:after="0" w:line="191" w:lineRule="exact"/>
        <w:rPr>
          <w:sz w:val="20"/>
          <w:szCs w:val="20"/>
          <w:color w:val="auto"/>
        </w:rPr>
      </w:pPr>
    </w:p>
    <w:p>
      <w:pPr>
        <w:ind w:left="1420" w:right="300" w:hanging="978"/>
        <w:spacing w:after="0" w:line="342" w:lineRule="auto"/>
        <w:tabs>
          <w:tab w:leader="none" w:pos="14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Form of RSU Award Notice and Agreement for Participants in France for use in connection with the Company’s 2010 Stock Incentive Plan. * (Filed as Exhibit 10.2 to Itron, Inc.’s Quarterly Report on Form 10-Q, filed on November 6, 2012 - File No. 0-22418)</w:t>
      </w:r>
    </w:p>
    <w:p>
      <w:pPr>
        <w:spacing w:after="0" w:line="191" w:lineRule="exact"/>
        <w:rPr>
          <w:sz w:val="20"/>
          <w:szCs w:val="20"/>
          <w:color w:val="auto"/>
        </w:rPr>
      </w:pPr>
    </w:p>
    <w:p>
      <w:pPr>
        <w:ind w:left="1420" w:right="360" w:hanging="978"/>
        <w:spacing w:after="0" w:line="277" w:lineRule="auto"/>
        <w:tabs>
          <w:tab w:leader="none" w:pos="14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Stock Option Grant Notice and Agreement for use in connection with both incentive and non-qualified stock options granted under the Company’s 2010 Stock Incentive Plan. * (attached hereto)</w:t>
      </w:r>
    </w:p>
    <w:p>
      <w:pPr>
        <w:sectPr>
          <w:pgSz w:w="11900" w:h="16838" w:orient="portrait"/>
          <w:cols w:equalWidth="0" w:num="1">
            <w:col w:w="11380"/>
          </w:cols>
          <w:pgMar w:left="240" w:top="125" w:right="279" w:bottom="1440" w:gutter="0" w:footer="0" w:header="0"/>
        </w:sect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80"/>
          </w:cols>
          <w:pgMar w:left="240" w:top="125" w:right="27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92"/>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Executive Deferred Compensation Plan. * (Filed as Exhibit 10.1 to Itron, Inc.’s Quarterly Report on form 10-Q, Filed on November 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2002 Employee Stock Purchase Plan. (Filed as Exhibit 10.20 to Itron’s Annual Report on Form 10-K,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February 26, 2009 -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Stock Option Plan for Nonemployee Directors. (Filed as Exhibit 10.11 to Itron, Inc.’s Registration Statement on Form S-1 dated July 22,</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Offer Letter, dated as of August 31, 2011, between Itron, Inc. and LeRoy D. Nosbaum. * (Filed as Exhibit 10.1 to Itron, Inc.’s Current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September 7, 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Offer Letter, dated as of November 16, 2012, between Itron, Inc. and Philip C. Mezey. * (Filed as Exhibit 10.1 to Itron, Inc.’s Current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November 19, 2012 -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Offer Letter, dated as of November 16, 2012, between Itron, Inc. and John W. Holleran. * (Filed as Exhibit 10.2 to Itron, Inc.’s Current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November 19, 2012 - File No. 0-22418)</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Subsidiaries of Itron, Inc.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101.DEF **</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(attached hereto)</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420" w:hanging="82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93" w:lineRule="exact"/>
        <w:rPr>
          <w:sz w:val="20"/>
          <w:szCs w:val="20"/>
          <w:color w:val="auto"/>
        </w:rPr>
      </w:pPr>
    </w:p>
    <w:p>
      <w:pPr>
        <w:ind w:left="1420" w:right="100" w:hanging="874"/>
        <w:spacing w:after="0" w:line="297" w:lineRule="auto"/>
        <w:tabs>
          <w:tab w:leader="none" w:pos="1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these interactive data files are deemed not filed and otherwise are not subject to liability.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21st day of February, 2013.</w:t>
      </w:r>
    </w:p>
    <w:p>
      <w:pPr>
        <w:spacing w:after="0" w:line="9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ITRON, INC.</w:t>
      </w:r>
    </w:p>
    <w:p>
      <w:pPr>
        <w:spacing w:after="0" w:line="385" w:lineRule="exact"/>
        <w:rPr>
          <w:sz w:val="20"/>
          <w:szCs w:val="20"/>
          <w:color w:val="auto"/>
        </w:rPr>
      </w:pPr>
    </w:p>
    <w:p>
      <w:pPr>
        <w:ind w:left="394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9"/>
          <w:szCs w:val="19"/>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34925</wp:posOffset>
            </wp:positionV>
            <wp:extent cx="4562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7"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Steven M. Helmbrecht</w:t>
      </w:r>
    </w:p>
    <w:p>
      <w:pPr>
        <w:spacing w:after="0" w:line="63"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21st day of February, 2013.</w:t>
      </w:r>
    </w:p>
    <w:p>
      <w:pPr>
        <w:spacing w:after="0" w:line="275" w:lineRule="exact"/>
        <w:rPr>
          <w:sz w:val="20"/>
          <w:szCs w:val="20"/>
          <w:color w:val="auto"/>
        </w:rPr>
      </w:pPr>
    </w:p>
    <w:p>
      <w:pPr>
        <w:ind w:left="1820"/>
        <w:spacing w:after="0"/>
        <w:tabs>
          <w:tab w:leader="none" w:pos="7820" w:val="left"/>
        </w:tabs>
        <w:rPr>
          <w:sz w:val="20"/>
          <w:szCs w:val="20"/>
          <w:color w:val="auto"/>
        </w:rPr>
      </w:pPr>
      <w:r>
        <w:rPr>
          <w:rFonts w:ascii="Arial" w:cs="Arial" w:eastAsia="Arial" w:hAnsi="Arial"/>
          <w:sz w:val="18"/>
          <w:szCs w:val="18"/>
          <w:b w:val="1"/>
          <w:bCs w:val="1"/>
          <w:color w:val="auto"/>
        </w:rPr>
        <w:t>Signatures</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03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80"/>
              </w:rPr>
              <w:t>/s/</w:t>
            </w:r>
          </w:p>
        </w:tc>
        <w:tc>
          <w:tcPr>
            <w:tcW w:w="2780" w:type="dxa"/>
            <w:vAlign w:val="bottom"/>
            <w:tcBorders>
              <w:bottom w:val="single" w:sz="8" w:color="auto"/>
            </w:tcBorders>
          </w:tcPr>
          <w:p>
            <w:pPr>
              <w:jc w:val="center"/>
              <w:ind w:right="1328"/>
              <w:spacing w:after="0"/>
              <w:rPr>
                <w:sz w:val="20"/>
                <w:szCs w:val="20"/>
                <w:color w:val="auto"/>
              </w:rPr>
            </w:pPr>
            <w:r>
              <w:rPr>
                <w:rFonts w:ascii="Arial" w:cs="Arial" w:eastAsia="Arial" w:hAnsi="Arial"/>
                <w:sz w:val="14"/>
                <w:szCs w:val="14"/>
                <w:color w:val="auto"/>
                <w:w w:val="99"/>
              </w:rPr>
              <w:t>PHILIP C. MEZEY</w:t>
            </w:r>
          </w:p>
        </w:tc>
        <w:tc>
          <w:tcPr>
            <w:tcW w:w="5520" w:type="dxa"/>
            <w:vAlign w:val="bottom"/>
          </w:tcPr>
          <w:p>
            <w:pPr>
              <w:spacing w:after="0"/>
              <w:rPr>
                <w:sz w:val="16"/>
                <w:szCs w:val="16"/>
                <w:color w:val="auto"/>
              </w:rPr>
            </w:pPr>
          </w:p>
        </w:tc>
      </w:tr>
      <w:tr>
        <w:trPr>
          <w:trHeight w:val="244"/>
        </w:trPr>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ind w:right="1528"/>
              <w:spacing w:after="0"/>
              <w:rPr>
                <w:sz w:val="20"/>
                <w:szCs w:val="20"/>
                <w:color w:val="auto"/>
              </w:rPr>
            </w:pPr>
            <w:r>
              <w:rPr>
                <w:rFonts w:ascii="Arial" w:cs="Arial" w:eastAsia="Arial" w:hAnsi="Arial"/>
                <w:sz w:val="14"/>
                <w:szCs w:val="14"/>
                <w:b w:val="1"/>
                <w:bCs w:val="1"/>
                <w:color w:val="auto"/>
                <w:w w:val="96"/>
              </w:rPr>
              <w:t>Philip C. Mezey</w:t>
            </w:r>
          </w:p>
        </w:tc>
        <w:tc>
          <w:tcPr>
            <w:tcW w:w="5520" w:type="dxa"/>
            <w:vAlign w:val="bottom"/>
          </w:tcPr>
          <w:p>
            <w:pPr>
              <w:ind w:left="260"/>
              <w:spacing w:after="0"/>
              <w:rPr>
                <w:sz w:val="20"/>
                <w:szCs w:val="20"/>
                <w:color w:val="auto"/>
              </w:rPr>
            </w:pPr>
            <w:r>
              <w:rPr>
                <w:rFonts w:ascii="Arial" w:cs="Arial" w:eastAsia="Arial" w:hAnsi="Arial"/>
                <w:sz w:val="14"/>
                <w:szCs w:val="14"/>
                <w:color w:val="auto"/>
              </w:rPr>
              <w:t>President and Chief Executive Officer (Principal Executive Officer), Director</w:t>
            </w:r>
          </w:p>
        </w:tc>
      </w:tr>
      <w:tr>
        <w:trPr>
          <w:trHeight w:val="600"/>
        </w:trPr>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/s/</w:t>
            </w:r>
          </w:p>
        </w:tc>
        <w:tc>
          <w:tcPr>
            <w:tcW w:w="3040" w:type="dxa"/>
            <w:vAlign w:val="bottom"/>
            <w:tcBorders>
              <w:bottom w:val="single" w:sz="8" w:color="auto"/>
            </w:tcBorders>
            <w:gridSpan w:val="2"/>
          </w:tcPr>
          <w:p>
            <w:pPr>
              <w:jc w:val="center"/>
              <w:ind w:right="1048"/>
              <w:spacing w:after="0"/>
              <w:rPr>
                <w:sz w:val="20"/>
                <w:szCs w:val="20"/>
                <w:color w:val="auto"/>
              </w:rPr>
            </w:pPr>
            <w:r>
              <w:rPr>
                <w:rFonts w:ascii="Arial" w:cs="Arial" w:eastAsia="Arial" w:hAnsi="Arial"/>
                <w:sz w:val="14"/>
                <w:szCs w:val="14"/>
                <w:color w:val="auto"/>
              </w:rPr>
              <w:t>STEVEN M. HELMBRECHT</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Steven M. Helmbrecht</w:t>
            </w:r>
          </w:p>
        </w:tc>
        <w:tc>
          <w:tcPr>
            <w:tcW w:w="5520" w:type="dxa"/>
            <w:vAlign w:val="bottom"/>
          </w:tcPr>
          <w:p>
            <w:pPr>
              <w:ind w:left="260"/>
              <w:spacing w:after="0"/>
              <w:rPr>
                <w:sz w:val="20"/>
                <w:szCs w:val="20"/>
                <w:color w:val="auto"/>
              </w:rPr>
            </w:pPr>
            <w:r>
              <w:rPr>
                <w:rFonts w:ascii="Arial" w:cs="Arial" w:eastAsia="Arial" w:hAnsi="Arial"/>
                <w:sz w:val="14"/>
                <w:szCs w:val="14"/>
                <w:color w:val="auto"/>
                <w:w w:val="94"/>
              </w:rPr>
              <w:t>Sr. Vice President and Chief Financial Officer (Principal Financial and Accounting Officer)</w:t>
            </w:r>
          </w:p>
        </w:tc>
      </w:tr>
      <w:tr>
        <w:trPr>
          <w:trHeight w:val="600"/>
        </w:trPr>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80"/>
              </w:rPr>
              <w:t>/s/</w:t>
            </w:r>
          </w:p>
        </w:tc>
        <w:tc>
          <w:tcPr>
            <w:tcW w:w="2780" w:type="dxa"/>
            <w:vAlign w:val="bottom"/>
            <w:tcBorders>
              <w:bottom w:val="single" w:sz="8" w:color="auto"/>
            </w:tcBorders>
          </w:tcPr>
          <w:p>
            <w:pPr>
              <w:jc w:val="center"/>
              <w:ind w:right="1308"/>
              <w:spacing w:after="0"/>
              <w:rPr>
                <w:sz w:val="20"/>
                <w:szCs w:val="20"/>
                <w:color w:val="auto"/>
              </w:rPr>
            </w:pPr>
            <w:r>
              <w:rPr>
                <w:rFonts w:ascii="Arial" w:cs="Arial" w:eastAsia="Arial" w:hAnsi="Arial"/>
                <w:sz w:val="14"/>
                <w:szCs w:val="14"/>
                <w:color w:val="auto"/>
              </w:rPr>
              <w:t>KIRBY A. DYESS</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ind w:right="1588"/>
              <w:spacing w:after="0"/>
              <w:rPr>
                <w:sz w:val="20"/>
                <w:szCs w:val="20"/>
                <w:color w:val="auto"/>
              </w:rPr>
            </w:pPr>
            <w:r>
              <w:rPr>
                <w:rFonts w:ascii="Arial" w:cs="Arial" w:eastAsia="Arial" w:hAnsi="Arial"/>
                <w:sz w:val="14"/>
                <w:szCs w:val="14"/>
                <w:b w:val="1"/>
                <w:bCs w:val="1"/>
                <w:color w:val="auto"/>
                <w:w w:val="93"/>
              </w:rPr>
              <w:t>Kirby A. Dyess</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600"/>
        </w:trPr>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80"/>
              </w:rPr>
              <w:t>/s/</w:t>
            </w:r>
          </w:p>
        </w:tc>
        <w:tc>
          <w:tcPr>
            <w:tcW w:w="2780" w:type="dxa"/>
            <w:vAlign w:val="bottom"/>
            <w:tcBorders>
              <w:bottom w:val="single" w:sz="8" w:color="auto"/>
            </w:tcBorders>
          </w:tcPr>
          <w:p>
            <w:pPr>
              <w:jc w:val="center"/>
              <w:ind w:right="1288"/>
              <w:spacing w:after="0"/>
              <w:rPr>
                <w:sz w:val="20"/>
                <w:szCs w:val="20"/>
                <w:color w:val="auto"/>
              </w:rPr>
            </w:pPr>
            <w:r>
              <w:rPr>
                <w:rFonts w:ascii="Arial" w:cs="Arial" w:eastAsia="Arial" w:hAnsi="Arial"/>
                <w:sz w:val="14"/>
                <w:szCs w:val="14"/>
                <w:color w:val="auto"/>
                <w:w w:val="96"/>
              </w:rPr>
              <w:t>JON E. ELIASSEN</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ind w:right="1588"/>
              <w:spacing w:after="0"/>
              <w:rPr>
                <w:sz w:val="20"/>
                <w:szCs w:val="20"/>
                <w:color w:val="auto"/>
              </w:rPr>
            </w:pPr>
            <w:r>
              <w:rPr>
                <w:rFonts w:ascii="Arial" w:cs="Arial" w:eastAsia="Arial" w:hAnsi="Arial"/>
                <w:sz w:val="14"/>
                <w:szCs w:val="14"/>
                <w:b w:val="1"/>
                <w:bCs w:val="1"/>
                <w:color w:val="auto"/>
                <w:w w:val="89"/>
              </w:rPr>
              <w:t>Jon E. Eliassen</w:t>
            </w:r>
          </w:p>
        </w:tc>
        <w:tc>
          <w:tcPr>
            <w:tcW w:w="5520" w:type="dxa"/>
            <w:vAlign w:val="bottom"/>
          </w:tcPr>
          <w:p>
            <w:pPr>
              <w:ind w:left="260"/>
              <w:spacing w:after="0"/>
              <w:rPr>
                <w:sz w:val="20"/>
                <w:szCs w:val="20"/>
                <w:color w:val="auto"/>
              </w:rPr>
            </w:pPr>
            <w:r>
              <w:rPr>
                <w:rFonts w:ascii="Arial" w:cs="Arial" w:eastAsia="Arial" w:hAnsi="Arial"/>
                <w:sz w:val="14"/>
                <w:szCs w:val="14"/>
                <w:color w:val="auto"/>
              </w:rPr>
              <w:t>Chairman of the Board</w:t>
            </w:r>
          </w:p>
        </w:tc>
      </w:tr>
      <w:tr>
        <w:trPr>
          <w:trHeight w:val="600"/>
        </w:trPr>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/s/</w:t>
            </w:r>
          </w:p>
        </w:tc>
        <w:tc>
          <w:tcPr>
            <w:tcW w:w="3040" w:type="dxa"/>
            <w:vAlign w:val="bottom"/>
            <w:tcBorders>
              <w:bottom w:val="single" w:sz="8" w:color="auto"/>
            </w:tcBorders>
            <w:gridSpan w:val="2"/>
          </w:tcPr>
          <w:p>
            <w:pPr>
              <w:jc w:val="center"/>
              <w:ind w:right="1028"/>
              <w:spacing w:after="0"/>
              <w:rPr>
                <w:sz w:val="20"/>
                <w:szCs w:val="20"/>
                <w:color w:val="auto"/>
              </w:rPr>
            </w:pPr>
            <w:r>
              <w:rPr>
                <w:rFonts w:ascii="Arial" w:cs="Arial" w:eastAsia="Arial" w:hAnsi="Arial"/>
                <w:sz w:val="14"/>
                <w:szCs w:val="14"/>
                <w:color w:val="auto"/>
                <w:w w:val="98"/>
              </w:rPr>
              <w:t>CHARLES H. GAYLORD, JR.</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30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Charles H. Gaylord, Jr.</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600"/>
        </w:trPr>
        <w:tc>
          <w:tcPr>
            <w:tcW w:w="14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/s/</w:t>
            </w:r>
          </w:p>
        </w:tc>
        <w:tc>
          <w:tcPr>
            <w:tcW w:w="3040" w:type="dxa"/>
            <w:vAlign w:val="bottom"/>
            <w:tcBorders>
              <w:bottom w:val="single" w:sz="8" w:color="auto"/>
            </w:tcBorders>
            <w:gridSpan w:val="2"/>
          </w:tcPr>
          <w:p>
            <w:pPr>
              <w:jc w:val="center"/>
              <w:ind w:right="1328"/>
              <w:spacing w:after="0"/>
              <w:rPr>
                <w:sz w:val="20"/>
                <w:szCs w:val="20"/>
                <w:color w:val="auto"/>
              </w:rPr>
            </w:pPr>
            <w:r>
              <w:rPr>
                <w:rFonts w:ascii="Arial" w:cs="Arial" w:eastAsia="Arial" w:hAnsi="Arial"/>
                <w:sz w:val="14"/>
                <w:szCs w:val="14"/>
                <w:color w:val="auto"/>
              </w:rPr>
              <w:t>THOMAS S. GLANVILLE</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b w:val="1"/>
                <w:bCs w:val="1"/>
                <w:color w:val="auto"/>
                <w:w w:val="93"/>
              </w:rPr>
              <w:t>Thomas S. Glanville</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600"/>
        </w:trPr>
        <w:tc>
          <w:tcPr>
            <w:tcW w:w="140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w w:val="80"/>
              </w:rPr>
              <w:t>/s/</w:t>
            </w:r>
          </w:p>
        </w:tc>
        <w:tc>
          <w:tcPr>
            <w:tcW w:w="3040" w:type="dxa"/>
            <w:vAlign w:val="bottom"/>
            <w:tcBorders>
              <w:bottom w:val="single" w:sz="8" w:color="auto"/>
            </w:tcBorders>
            <w:gridSpan w:val="2"/>
          </w:tcPr>
          <w:p>
            <w:pPr>
              <w:jc w:val="center"/>
              <w:ind w:right="1328"/>
              <w:spacing w:after="0"/>
              <w:rPr>
                <w:sz w:val="20"/>
                <w:szCs w:val="20"/>
                <w:color w:val="auto"/>
              </w:rPr>
            </w:pPr>
            <w:r>
              <w:rPr>
                <w:rFonts w:ascii="Arial" w:cs="Arial" w:eastAsia="Arial" w:hAnsi="Arial"/>
                <w:sz w:val="14"/>
                <w:szCs w:val="14"/>
                <w:color w:val="auto"/>
                <w:w w:val="99"/>
              </w:rPr>
              <w:t>SHARON L. NELSON</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ind w:right="1568"/>
              <w:spacing w:after="0"/>
              <w:rPr>
                <w:sz w:val="20"/>
                <w:szCs w:val="20"/>
                <w:color w:val="auto"/>
              </w:rPr>
            </w:pPr>
            <w:r>
              <w:rPr>
                <w:rFonts w:ascii="Arial" w:cs="Arial" w:eastAsia="Arial" w:hAnsi="Arial"/>
                <w:sz w:val="14"/>
                <w:szCs w:val="14"/>
                <w:b w:val="1"/>
                <w:bCs w:val="1"/>
                <w:color w:val="auto"/>
                <w:w w:val="92"/>
              </w:rPr>
              <w:t>Sharon L. Nelson</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600"/>
        </w:trPr>
        <w:tc>
          <w:tcPr>
            <w:tcW w:w="166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color w:val="auto"/>
              </w:rPr>
              <w:t>/s/</w:t>
            </w:r>
          </w:p>
        </w:tc>
        <w:tc>
          <w:tcPr>
            <w:tcW w:w="2780" w:type="dxa"/>
            <w:vAlign w:val="bottom"/>
            <w:tcBorders>
              <w:bottom w:val="single" w:sz="8" w:color="auto"/>
            </w:tcBorders>
          </w:tcPr>
          <w:p>
            <w:pPr>
              <w:jc w:val="center"/>
              <w:ind w:right="1568"/>
              <w:spacing w:after="0"/>
              <w:rPr>
                <w:sz w:val="20"/>
                <w:szCs w:val="20"/>
                <w:color w:val="auto"/>
              </w:rPr>
            </w:pPr>
            <w:r>
              <w:rPr>
                <w:rFonts w:ascii="Arial" w:cs="Arial" w:eastAsia="Arial" w:hAnsi="Arial"/>
                <w:sz w:val="14"/>
                <w:szCs w:val="14"/>
                <w:color w:val="auto"/>
                <w:w w:val="98"/>
              </w:rPr>
              <w:t>GARY E. PRUITT</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ind w:right="1588"/>
              <w:spacing w:after="0"/>
              <w:rPr>
                <w:sz w:val="20"/>
                <w:szCs w:val="20"/>
                <w:color w:val="auto"/>
              </w:rPr>
            </w:pPr>
            <w:r>
              <w:rPr>
                <w:rFonts w:ascii="Arial" w:cs="Arial" w:eastAsia="Arial" w:hAnsi="Arial"/>
                <w:sz w:val="14"/>
                <w:szCs w:val="14"/>
                <w:b w:val="1"/>
                <w:bCs w:val="1"/>
                <w:color w:val="auto"/>
                <w:w w:val="98"/>
              </w:rPr>
              <w:t>Gary E. Pruitt</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600"/>
        </w:trPr>
        <w:tc>
          <w:tcPr>
            <w:tcW w:w="140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/s/</w:t>
            </w:r>
          </w:p>
        </w:tc>
        <w:tc>
          <w:tcPr>
            <w:tcW w:w="3040" w:type="dxa"/>
            <w:vAlign w:val="bottom"/>
            <w:tcBorders>
              <w:bottom w:val="single" w:sz="8" w:color="auto"/>
            </w:tcBorders>
            <w:gridSpan w:val="2"/>
          </w:tcPr>
          <w:p>
            <w:pPr>
              <w:jc w:val="center"/>
              <w:ind w:right="1328"/>
              <w:spacing w:after="0"/>
              <w:rPr>
                <w:sz w:val="20"/>
                <w:szCs w:val="20"/>
                <w:color w:val="auto"/>
              </w:rPr>
            </w:pPr>
            <w:r>
              <w:rPr>
                <w:rFonts w:ascii="Arial" w:cs="Arial" w:eastAsia="Arial" w:hAnsi="Arial"/>
                <w:sz w:val="14"/>
                <w:szCs w:val="14"/>
                <w:color w:val="auto"/>
              </w:rPr>
              <w:t>GRAHAM M. WILSON</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b w:val="1"/>
                <w:bCs w:val="1"/>
                <w:color w:val="auto"/>
                <w:w w:val="98"/>
              </w:rPr>
              <w:t>Graham M. Wilson</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471"/>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520" w:type="dxa"/>
            <w:vAlign w:val="bottom"/>
          </w:tcPr>
          <w:p>
            <w:pPr>
              <w:ind w:left="118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69"/>
        </w:trPr>
        <w:tc>
          <w:tcPr>
            <w:tcW w:w="5980" w:type="dxa"/>
            <w:vAlign w:val="bottom"/>
            <w:gridSpan w:val="5"/>
          </w:tcPr>
          <w:p>
            <w:pPr>
              <w:spacing w:after="0"/>
              <w:rPr>
                <w:sz w:val="20"/>
                <w:szCs w:val="20"/>
                <w:color w:val="auto"/>
              </w:rPr>
            </w:pPr>
            <w:r>
              <w:rPr>
                <w:rFonts w:ascii="Arial" w:cs="Arial" w:eastAsia="Arial" w:hAnsi="Arial"/>
                <w:sz w:val="18"/>
                <w:szCs w:val="18"/>
                <w:b w:val="1"/>
                <w:bCs w:val="1"/>
                <w:color w:val="auto"/>
              </w:rPr>
              <w:t>SCHEDULE II:  VALUATION AND QUALIFYING ACCOUNTS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49"/>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Balance at</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Additions</w:t>
            </w:r>
          </w:p>
        </w:tc>
        <w:tc>
          <w:tcPr>
            <w:tcW w:w="2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beginning of</w:t>
            </w:r>
          </w:p>
        </w:tc>
        <w:tc>
          <w:tcPr>
            <w:tcW w:w="24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charged to costs</w:t>
            </w:r>
          </w:p>
        </w:tc>
        <w:tc>
          <w:tcPr>
            <w:tcW w:w="2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end of period</w:t>
            </w:r>
          </w:p>
        </w:tc>
      </w:tr>
      <w:tr>
        <w:trPr>
          <w:trHeight w:val="234"/>
        </w:trPr>
        <w:tc>
          <w:tcPr>
            <w:tcW w:w="4460" w:type="dxa"/>
            <w:vAlign w:val="bottom"/>
            <w:gridSpan w:val="3"/>
          </w:tcPr>
          <w:p>
            <w:pPr>
              <w:ind w:left="4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period</w:t>
            </w:r>
          </w:p>
        </w:tc>
        <w:tc>
          <w:tcPr>
            <w:tcW w:w="24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w w:val="90"/>
              </w:rPr>
              <w:t>adjustments</w:t>
            </w:r>
          </w:p>
        </w:tc>
        <w:tc>
          <w:tcPr>
            <w:tcW w:w="18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and expenses</w:t>
            </w:r>
          </w:p>
        </w:tc>
        <w:tc>
          <w:tcPr>
            <w:tcW w:w="2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noncurrent</w:t>
            </w:r>
          </w:p>
        </w:tc>
      </w:tr>
      <w:tr>
        <w:trPr>
          <w:trHeight w:val="27"/>
        </w:trPr>
        <w:tc>
          <w:tcPr>
            <w:tcW w:w="12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05"/>
        </w:trPr>
        <w:tc>
          <w:tcPr>
            <w:tcW w:w="4460" w:type="dxa"/>
            <w:vAlign w:val="bottom"/>
            <w:gridSpan w:val="3"/>
          </w:tcPr>
          <w:p>
            <w:pPr>
              <w:ind w:left="80"/>
              <w:spacing w:after="0"/>
              <w:rPr>
                <w:sz w:val="20"/>
                <w:szCs w:val="20"/>
                <w:color w:val="auto"/>
              </w:rPr>
            </w:pPr>
            <w:r>
              <w:rPr>
                <w:rFonts w:ascii="Arial" w:cs="Arial" w:eastAsia="Arial" w:hAnsi="Arial"/>
                <w:sz w:val="18"/>
                <w:szCs w:val="18"/>
                <w:i w:val="1"/>
                <w:iCs w:val="1"/>
                <w:color w:val="auto"/>
              </w:rPr>
              <w:t>Year ended December 31, 2012:</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2"/>
        </w:trPr>
        <w:tc>
          <w:tcPr>
            <w:tcW w:w="1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29,560</w:t>
            </w:r>
          </w:p>
        </w:tc>
      </w:tr>
      <w:tr>
        <w:trPr>
          <w:trHeight w:val="378"/>
        </w:trPr>
        <w:tc>
          <w:tcPr>
            <w:tcW w:w="4460" w:type="dxa"/>
            <w:vAlign w:val="bottom"/>
            <w:gridSpan w:val="3"/>
          </w:tcPr>
          <w:p>
            <w:pPr>
              <w:ind w:left="80"/>
              <w:spacing w:after="0"/>
              <w:rPr>
                <w:sz w:val="20"/>
                <w:szCs w:val="20"/>
                <w:color w:val="auto"/>
              </w:rPr>
            </w:pPr>
            <w:r>
              <w:rPr>
                <w:rFonts w:ascii="Arial" w:cs="Arial" w:eastAsia="Arial" w:hAnsi="Arial"/>
                <w:sz w:val="18"/>
                <w:szCs w:val="18"/>
                <w:i w:val="1"/>
                <w:iCs w:val="1"/>
                <w:color w:val="auto"/>
              </w:rPr>
              <w:t>Year ended December 31, 2011:</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2"/>
        </w:trPr>
        <w:tc>
          <w:tcPr>
            <w:tcW w:w="1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29,953</w:t>
            </w:r>
          </w:p>
        </w:tc>
      </w:tr>
      <w:tr>
        <w:trPr>
          <w:trHeight w:val="675"/>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780"/>
          </w:cols>
          <w:pgMar w:left="240" w:top="108" w:right="87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AMENDED AND RESTATED CHANGE IN CONTROL SEVERANCE AGREEMENT FOR EXECUTIVE OFFICERS</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AMENDED AND RESTATED CHANGE IN CONTROL SEVERANCE AGREEMENT FOR EXECUTIVE OFFICERS (“Agreement”), dated January 1, 2013 is made by and between Itron, Inc. (the "Company"), and ____________ (the "Executive").</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the Company and Executive are parties to a Change in Control Severance Agreement for Executive Officers dated March 5, 2010 (“Prior Agreement”);</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Company determined that certain amendments relating to the treatment of equity awards in the event of a Change in Control are required and that therefore the Executive's Prior Agreement should be amended and restated with an effective date of January 1, 2013;</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the Company considers the establishment and maintenance of a sound and vital management to be essential to protecting and enhancing the best interests of the Company and its stockholders; and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the Executive has made and is expected to make a significant contribution to the Company; and</w:t>
      </w:r>
    </w:p>
    <w:p>
      <w:pPr>
        <w:spacing w:after="0" w:line="23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the Company, as a publicly held corporation, recognizes that the possibility of a Change in Control may exist, and that such possibility and the uncertainty and questions which it may raise among management may result in the departure or distraction of the Executive in the performance of the Executive's duties, to the detriment of the Company and its stockholders; and</w:t>
      </w:r>
    </w:p>
    <w:p>
      <w:pPr>
        <w:spacing w:after="0" w:line="18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WHEREAS, it is in the best interests of the Company and its stockholders to reinforce and encourage the continued attention and dedication of management personnel, including the Executive, to their assigned duties without distraction and to ensure the continued availability to the Company of the Executive in the event of a Change in Control;</w:t>
      </w:r>
    </w:p>
    <w:p>
      <w:pPr>
        <w:spacing w:after="0" w:line="16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THEREFORE, in consideration of the foregoing and other respective covenants and agreements of the parties herein contained, the parties hereto agree as follows:</w:t>
      </w:r>
    </w:p>
    <w:p>
      <w:pPr>
        <w:spacing w:after="0" w:line="17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The definitions of capitalized terms used in this Agreement are provided in Section 16.</w:t>
      </w:r>
    </w:p>
    <w:p>
      <w:pPr>
        <w:spacing w:after="0" w:line="260" w:lineRule="exact"/>
        <w:rPr>
          <w:rFonts w:ascii="Arial" w:cs="Arial" w:eastAsia="Arial" w:hAnsi="Arial"/>
          <w:sz w:val="22"/>
          <w:szCs w:val="22"/>
          <w:color w:val="auto"/>
        </w:rPr>
      </w:pPr>
    </w:p>
    <w:p>
      <w:pPr>
        <w:jc w:val="both"/>
        <w:ind w:left="660" w:hanging="652"/>
        <w:spacing w:after="0" w:line="265" w:lineRule="auto"/>
        <w:tabs>
          <w:tab w:leader="none" w:pos="660"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Term of Agreement</w:t>
      </w:r>
      <w:r>
        <w:rPr>
          <w:rFonts w:ascii="Arial" w:cs="Arial" w:eastAsia="Arial" w:hAnsi="Arial"/>
          <w:sz w:val="21"/>
          <w:szCs w:val="21"/>
          <w:color w:val="auto"/>
        </w:rPr>
        <w:t xml:space="preserve">. The term of this Agreement (the "Term") shall commence on January 1, 2013 and shall continue in effect through December 31, 2013;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commencing on January 1, 2014 and each January 1 thereafter (“Anniversary Date”), the Term shall automatically be extended for one additional year unless, not later than one year prior to the Anniversary Date, the Company or the Executive shall have given notice not to</w:t>
      </w:r>
    </w:p>
    <w:p>
      <w:pPr>
        <w:sectPr>
          <w:pgSz w:w="11900" w:h="16838" w:orient="portrait"/>
          <w:cols w:equalWidth="0" w:num="1">
            <w:col w:w="11420"/>
          </w:cols>
          <w:pgMar w:left="240" w:top="580" w:right="239" w:bottom="1440" w:gutter="0" w:footer="0" w:header="0"/>
        </w:sectPr>
      </w:pPr>
    </w:p>
    <w:bookmarkStart w:id="94" w:name="page95"/>
    <w:bookmarkEnd w:id="94"/>
    <w:p>
      <w:pPr>
        <w:jc w:val="both"/>
        <w:ind w:left="652"/>
        <w:spacing w:after="0" w:line="228" w:lineRule="auto"/>
        <w:rPr>
          <w:sz w:val="20"/>
          <w:szCs w:val="20"/>
          <w:color w:val="auto"/>
        </w:rPr>
      </w:pPr>
      <w:r>
        <w:rPr>
          <w:rFonts w:ascii="Arial" w:cs="Arial" w:eastAsia="Arial" w:hAnsi="Arial"/>
          <w:sz w:val="22"/>
          <w:szCs w:val="22"/>
          <w:color w:val="auto"/>
        </w:rPr>
        <w:t xml:space="preserve">extend the Term; and </w:t>
      </w:r>
      <w:r>
        <w:rPr>
          <w:rFonts w:ascii="Arial" w:cs="Arial" w:eastAsia="Arial" w:hAnsi="Arial"/>
          <w:sz w:val="22"/>
          <w:szCs w:val="22"/>
          <w:u w:val="single" w:color="auto"/>
          <w:color w:val="auto"/>
        </w:rPr>
        <w:t>further 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 Change in Control shall have occurred during the Term, the Term shall expire on the last day of the twenty-fourth (24</w:t>
      </w:r>
      <w:r>
        <w:rPr>
          <w:rFonts w:ascii="Arial" w:cs="Arial" w:eastAsia="Arial" w:hAnsi="Arial"/>
          <w:sz w:val="28"/>
          <w:szCs w:val="28"/>
          <w:color w:val="auto"/>
          <w:vertAlign w:val="superscript"/>
        </w:rPr>
        <w:t>th</w:t>
      </w:r>
      <w:r>
        <w:rPr>
          <w:rFonts w:ascii="Arial" w:cs="Arial" w:eastAsia="Arial" w:hAnsi="Arial"/>
          <w:sz w:val="22"/>
          <w:szCs w:val="22"/>
          <w:color w:val="auto"/>
        </w:rPr>
        <w:t>) month following the month in which such Change in Control occurred.</w:t>
      </w:r>
    </w:p>
    <w:p>
      <w:pPr>
        <w:spacing w:after="0" w:line="240" w:lineRule="exact"/>
        <w:rPr>
          <w:sz w:val="20"/>
          <w:szCs w:val="20"/>
          <w:color w:val="auto"/>
        </w:rPr>
      </w:pPr>
    </w:p>
    <w:p>
      <w:pPr>
        <w:jc w:val="both"/>
        <w:ind w:left="652" w:hanging="652"/>
        <w:spacing w:after="0" w:line="290" w:lineRule="auto"/>
        <w:tabs>
          <w:tab w:leader="none" w:pos="65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Company's Covenants Summarized</w:t>
      </w:r>
      <w:r>
        <w:rPr>
          <w:rFonts w:ascii="Arial" w:cs="Arial" w:eastAsia="Arial" w:hAnsi="Arial"/>
          <w:sz w:val="19"/>
          <w:szCs w:val="19"/>
          <w:color w:val="auto"/>
        </w:rPr>
        <w:t>. In order to induce the Executive to remain in the employ of the Company and in consideration of the Executive's covenants in Section 4 and Section 15, the Company, under the conditions described herein, shall pay the Executive the Severance Payments and the other payments and benefits described herein. Except as provided in Section 5.3, no Severance Payments shall be payable under this Agreement unless there shall have been (or, pursuant to the second sentence of Section 6.1, there shall be deemed to have been) a termination of the Executive's employment with the Company following a Change in Control and during the Term. This Agreement shall not be construed as creating an express or implied contract of employment and, except as otherwise agreed in writing between the Executive and the Company, the Executive shall not have any right to be retained in the employ of the Company.</w:t>
      </w:r>
    </w:p>
    <w:p>
      <w:pPr>
        <w:spacing w:after="0" w:line="197" w:lineRule="exact"/>
        <w:rPr>
          <w:rFonts w:ascii="Arial" w:cs="Arial" w:eastAsia="Arial" w:hAnsi="Arial"/>
          <w:sz w:val="19"/>
          <w:szCs w:val="19"/>
          <w:color w:val="auto"/>
        </w:rPr>
      </w:pPr>
    </w:p>
    <w:p>
      <w:pPr>
        <w:jc w:val="both"/>
        <w:ind w:left="652" w:hanging="652"/>
        <w:spacing w:after="0" w:line="297" w:lineRule="auto"/>
        <w:tabs>
          <w:tab w:leader="none" w:pos="65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The Executive's Covenants</w:t>
      </w:r>
      <w:r>
        <w:rPr>
          <w:rFonts w:ascii="Arial" w:cs="Arial" w:eastAsia="Arial" w:hAnsi="Arial"/>
          <w:sz w:val="19"/>
          <w:szCs w:val="19"/>
          <w:color w:val="auto"/>
        </w:rPr>
        <w:t>. Subject to the terms and conditions of this Agreement, in the event of a Potential Change in Control, the Executive shall remain in the employ of the Company until the earliest of (i) a date which is six (6) months from the date of the first occurrence of a Potential Change in Control, (ii) the date of a Change in Control, (iii) the date of termination by the Executive of the Executive's employment for Good Reason or by reason of death, Disability or Retirement, or (iv) the termination by the Company of the Executive's employment for any reason.</w:t>
      </w:r>
    </w:p>
    <w:p>
      <w:pPr>
        <w:spacing w:after="0" w:line="187" w:lineRule="exact"/>
        <w:rPr>
          <w:rFonts w:ascii="Arial" w:cs="Arial" w:eastAsia="Arial" w:hAnsi="Arial"/>
          <w:sz w:val="19"/>
          <w:szCs w:val="19"/>
          <w:color w:val="auto"/>
        </w:rPr>
      </w:pPr>
    </w:p>
    <w:p>
      <w:pPr>
        <w:ind w:left="652" w:hanging="652"/>
        <w:spacing w:after="0"/>
        <w:tabs>
          <w:tab w:leader="none" w:pos="652"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Compensation Other Than Severance Payments; Equity Award Treatment</w:t>
      </w:r>
      <w:r>
        <w:rPr>
          <w:rFonts w:ascii="Arial" w:cs="Arial" w:eastAsia="Arial" w:hAnsi="Arial"/>
          <w:sz w:val="22"/>
          <w:szCs w:val="22"/>
          <w:color w:val="auto"/>
        </w:rPr>
        <w:t>.</w:t>
      </w:r>
    </w:p>
    <w:p>
      <w:pPr>
        <w:spacing w:after="0" w:line="260" w:lineRule="exact"/>
        <w:rPr>
          <w:sz w:val="20"/>
          <w:szCs w:val="20"/>
          <w:color w:val="auto"/>
        </w:rPr>
      </w:pPr>
    </w:p>
    <w:p>
      <w:pPr>
        <w:jc w:val="both"/>
        <w:ind w:left="212" w:firstLine="1296"/>
        <w:spacing w:after="0" w:line="292" w:lineRule="auto"/>
        <w:rPr>
          <w:sz w:val="20"/>
          <w:szCs w:val="20"/>
          <w:color w:val="auto"/>
        </w:rPr>
      </w:pPr>
      <w:r>
        <w:rPr>
          <w:rFonts w:ascii="Arial" w:cs="Arial" w:eastAsia="Arial" w:hAnsi="Arial"/>
          <w:sz w:val="19"/>
          <w:szCs w:val="19"/>
          <w:color w:val="auto"/>
        </w:rPr>
        <w:t>5.1 If the Executive's employment shall be terminated for any reason following a Change in Control, the Company shall pay the Base Salary to the Executive through the Date of Termination, together with all compensation and benefits payable to the Executive through the Date of Termination under the terms of the Company's compensation and benefit plans, programs or arrangements as in effect immediately prior to the Date of Termination or, if more favorable to the Executive, as in effect immediately prior to the first occurrence of an event or circumstance constituting Good Reason (including, without limitation, a payment in respect of the Executive's accrued and unused vacation, determined without regard to any adverse change to the vacation accrual or payout policy occurring following the Change in Control).</w:t>
      </w:r>
    </w:p>
    <w:p>
      <w:pPr>
        <w:spacing w:after="0" w:line="192" w:lineRule="exact"/>
        <w:rPr>
          <w:sz w:val="20"/>
          <w:szCs w:val="20"/>
          <w:color w:val="auto"/>
        </w:rPr>
      </w:pPr>
    </w:p>
    <w:p>
      <w:pPr>
        <w:jc w:val="both"/>
        <w:ind w:left="212" w:firstLine="1296"/>
        <w:spacing w:after="0" w:line="260" w:lineRule="exact"/>
        <w:rPr>
          <w:sz w:val="20"/>
          <w:szCs w:val="20"/>
          <w:color w:val="auto"/>
        </w:rPr>
      </w:pPr>
      <w:r>
        <w:rPr>
          <w:rFonts w:ascii="Arial" w:cs="Arial" w:eastAsia="Arial" w:hAnsi="Arial"/>
          <w:sz w:val="19"/>
          <w:szCs w:val="19"/>
          <w:color w:val="auto"/>
        </w:rPr>
        <w:t>5.2 If the Executive's employment shall be terminated for any reason following a Change in Control, the Company shall pay to the Executive the Executive's normal post</w:t>
      </w:r>
      <w:r>
        <w:rPr>
          <w:rFonts w:ascii="MS PGothic" w:cs="MS PGothic" w:eastAsia="MS PGothic" w:hAnsi="MS PGothic"/>
          <w:sz w:val="19"/>
          <w:szCs w:val="19"/>
          <w:color w:val="auto"/>
        </w:rPr>
        <w:t>‑</w:t>
      </w:r>
      <w:r>
        <w:rPr>
          <w:rFonts w:ascii="Arial" w:cs="Arial" w:eastAsia="Arial" w:hAnsi="Arial"/>
          <w:sz w:val="19"/>
          <w:szCs w:val="19"/>
          <w:color w:val="auto"/>
        </w:rPr>
        <w:t>termination compensation and benefits as such payments become due. Such post</w:t>
      </w:r>
      <w:r>
        <w:rPr>
          <w:rFonts w:ascii="MS PGothic" w:cs="MS PGothic" w:eastAsia="MS PGothic" w:hAnsi="MS PGothic"/>
          <w:sz w:val="19"/>
          <w:szCs w:val="19"/>
          <w:color w:val="auto"/>
        </w:rPr>
        <w:t>‑</w:t>
      </w:r>
      <w:r>
        <w:rPr>
          <w:rFonts w:ascii="Arial" w:cs="Arial" w:eastAsia="Arial" w:hAnsi="Arial"/>
          <w:sz w:val="19"/>
          <w:szCs w:val="19"/>
          <w:color w:val="auto"/>
        </w:rPr>
        <w:t>termination compensation and benefits shall be determined under, and paid in accordance with, the Company's retirement, insurance and other compensation or benefit plans, programs and arrangements as in effect immediately prior to the Date of Termination or, if more favorable to the Executive, as in effect immediately prior to the occurrence of the first event or circumstance constituting Good Reason, subject to the application of 6.1(D) hereof.</w:t>
      </w:r>
    </w:p>
    <w:p>
      <w:pPr>
        <w:sectPr>
          <w:pgSz w:w="11900" w:h="16838" w:orient="portrait"/>
          <w:cols w:equalWidth="0" w:num="1">
            <w:col w:w="11412"/>
          </w:cols>
          <w:pgMar w:left="248" w:top="591" w:right="239" w:bottom="1440" w:gutter="0" w:footer="0" w:header="0"/>
        </w:sectPr>
      </w:pPr>
    </w:p>
    <w:bookmarkStart w:id="95" w:name="page96"/>
    <w:bookmarkEnd w:id="95"/>
    <w:p>
      <w:pPr>
        <w:jc w:val="both"/>
        <w:ind w:left="212" w:firstLine="1296"/>
        <w:spacing w:after="0" w:line="286" w:lineRule="auto"/>
        <w:rPr>
          <w:sz w:val="20"/>
          <w:szCs w:val="20"/>
          <w:color w:val="auto"/>
        </w:rPr>
      </w:pPr>
      <w:r>
        <w:rPr>
          <w:rFonts w:ascii="Arial" w:cs="Arial" w:eastAsia="Arial" w:hAnsi="Arial"/>
          <w:sz w:val="19"/>
          <w:szCs w:val="19"/>
          <w:color w:val="auto"/>
        </w:rPr>
        <w:t>5.3 Each outstanding stock option, restricted stock unit or other equity or equity-based award granted to the Executive prior to January 1, 2014 shall continue to be governed by the terms of the applicable award agreement governing the treatment of such award in connection with a Change in Control. Notwithstanding anything to the contrary contained in any equity plan or arrangement of the Company or any agreement between the Company and the Executive (but subject to the provisions of Section 14.3 hereof), each stock option, restricted stock, restricted stock unit or other equity or equity-based award granted to the Executive following January 1, 2014 (such awards, not including those described in the first sentence of this Section 5.3, the “New Equity Awards”) shall become immediately and fully vested and (if applicable) exercisable as of the date of any Change in Control in which either (i) the New Equity Awards are not assumed, substituted for, or converted into awards of the acquiring or surviving corporation (or a publicly-traded parent thereof) in a manner which prevents dilution of the Executive's rights thereunder or (ii) the acquiring or surviving corporation (or parent thereof) is not publicly-traded, provided that any New Equity Award which is a Long Term Performance Plan award shall be vested at the greater of target or actual performance for the year (which shall be determined by the Board if the Board concludes that such performance may be determined as of the date of the Change in Control), which Long Term Performance Plan award shall be paid out pro-rata within five days following the Change in Control, based on the portion of the performance period which has elapsed as of the date of the Change in Control. All determinations required under this Section 5.3 shall be made by the Board prior to the occurrence of a Change in Control and shall be binding on all Persons.</w:t>
      </w:r>
    </w:p>
    <w:p>
      <w:pPr>
        <w:spacing w:after="0" w:line="200" w:lineRule="exact"/>
        <w:rPr>
          <w:sz w:val="20"/>
          <w:szCs w:val="20"/>
          <w:color w:val="auto"/>
        </w:rPr>
      </w:pPr>
    </w:p>
    <w:p>
      <w:pPr>
        <w:spacing w:after="0" w:line="257"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Severance Payments and Benefits</w:t>
      </w:r>
      <w:r>
        <w:rPr>
          <w:rFonts w:ascii="Arial" w:cs="Arial" w:eastAsia="Arial" w:hAnsi="Arial"/>
          <w:sz w:val="22"/>
          <w:szCs w:val="22"/>
          <w:color w:val="auto"/>
        </w:rPr>
        <w:t>.</w:t>
      </w:r>
    </w:p>
    <w:p>
      <w:pPr>
        <w:spacing w:after="0" w:line="260" w:lineRule="exact"/>
        <w:rPr>
          <w:sz w:val="20"/>
          <w:szCs w:val="20"/>
          <w:color w:val="auto"/>
        </w:rPr>
      </w:pPr>
    </w:p>
    <w:p>
      <w:pPr>
        <w:jc w:val="both"/>
        <w:ind w:left="212" w:firstLine="1296"/>
        <w:spacing w:after="0" w:line="288" w:lineRule="auto"/>
        <w:rPr>
          <w:sz w:val="20"/>
          <w:szCs w:val="20"/>
          <w:color w:val="auto"/>
        </w:rPr>
      </w:pPr>
      <w:r>
        <w:rPr>
          <w:rFonts w:ascii="Arial" w:cs="Arial" w:eastAsia="Arial" w:hAnsi="Arial"/>
          <w:sz w:val="19"/>
          <w:szCs w:val="19"/>
          <w:color w:val="auto"/>
        </w:rPr>
        <w:t>6.1 If the Executive's employment is terminated within twenty-four (24) months following a Change in Control, other than (a) by the Company for Cause, (b) by reason of death or Disability, or (c) by the Executive without Good Reason, then the Company shall pay the Executive the amounts, and provide the Executive the benefits, described in this Section 6.1 ("Severance Payments"), and, if applicable, Section 6.2, in addition to any payments and benefits to which the Executive is entitled under Section 5. For purposes of this Agreement, the Executive's employment shall be deemed to have been terminated within twenty-four (24) months following a Change in Control and during the Term by the Company without Cause or by the Executive with Good Reason, if (i) the Executive's employment is terminated by the Company without Cause during a Potential Change in Control Period, or (ii) the Executive terminates Executive's employment for Good Reason during a Potential Change in Control Period. Except as described above, the Executive shall not be entitled to benefits pursuant to this Section 6.1 unless a Change in Control shall have occurred during the Term.</w:t>
      </w:r>
    </w:p>
    <w:p>
      <w:pPr>
        <w:spacing w:after="0" w:line="201" w:lineRule="exact"/>
        <w:rPr>
          <w:sz w:val="20"/>
          <w:szCs w:val="20"/>
          <w:color w:val="auto"/>
        </w:rPr>
      </w:pPr>
    </w:p>
    <w:p>
      <w:pPr>
        <w:jc w:val="both"/>
        <w:ind w:left="652" w:firstLine="1293"/>
        <w:spacing w:after="0" w:line="265" w:lineRule="auto"/>
        <w:tabs>
          <w:tab w:leader="none" w:pos="2897"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Company shall pay to the Executive a lump sum severance payment, in cash, equal to 2.5 times the sum of (a) the Base Salary, and (b) the target annual bonus available to the Executive pursuant to the Company's annual bonus plan in which the Executive participates in respect of the fiscal year in which the Date of Termination occurs (without giving effect to any event or circumstance constituting Good Reason).</w:t>
      </w:r>
    </w:p>
    <w:p>
      <w:pPr>
        <w:sectPr>
          <w:pgSz w:w="11900" w:h="16838" w:orient="portrait"/>
          <w:cols w:equalWidth="0" w:num="1">
            <w:col w:w="11412"/>
          </w:cols>
          <w:pgMar w:left="248" w:top="591" w:right="239" w:bottom="1440" w:gutter="0" w:footer="0" w:header="0"/>
        </w:sectPr>
      </w:pPr>
    </w:p>
    <w:bookmarkStart w:id="96" w:name="page97"/>
    <w:bookmarkEnd w:id="96"/>
    <w:p>
      <w:pPr>
        <w:jc w:val="both"/>
        <w:ind w:left="-540" w:firstLine="1293"/>
        <w:spacing w:after="0" w:line="289" w:lineRule="auto"/>
        <w:tabs>
          <w:tab w:leader="none" w:pos="1693" w:val="left"/>
        </w:tabs>
        <w:numPr>
          <w:ilvl w:val="0"/>
          <w:numId w:val="31"/>
        </w:numPr>
        <w:rPr>
          <w:rFonts w:ascii="Arial" w:cs="Arial" w:eastAsia="Arial" w:hAnsi="Arial"/>
          <w:sz w:val="19"/>
          <w:szCs w:val="19"/>
          <w:color w:val="auto"/>
        </w:rPr>
      </w:pPr>
      <w:r>
        <w:rPr>
          <w:rFonts w:ascii="Arial" w:cs="Arial" w:eastAsia="Arial" w:hAnsi="Arial"/>
          <w:sz w:val="19"/>
          <w:szCs w:val="19"/>
          <w:color w:val="auto"/>
        </w:rPr>
        <w:t>For the 30 month period immediately following the Date of Termination, the Company shall arrange to provide the Executive and Executive's dependents life, disability and health insurance benefits substantially similar to those provided to the Executive and Executive's dependents immediately prior to the Date of Termination or, if more favorable to the Executive, those provided to the Executive and Executive's dependents immediately prior to the first occurrence of an event or circumstance constituting Good Reason, at no greater after-tax cost to the Executive than the cost to the Executive immediately prior to such date or occurrence. The cost of providing the benefits set forth in this Section 6.1(B) shall be in addition to (and shall not reduce) the Severance Payments. Benefits otherwise receivable by the Executive pursuant to this Section 6.1(B) shall be reduced to the extent the Executive becomes eligible to receive comparable benefits at comparable cost from a new employer or pursuant to a government-sponsored health insurance or health care program.</w:t>
      </w:r>
    </w:p>
    <w:p>
      <w:pPr>
        <w:spacing w:after="0" w:line="198" w:lineRule="exact"/>
        <w:rPr>
          <w:rFonts w:ascii="Arial" w:cs="Arial" w:eastAsia="Arial" w:hAnsi="Arial"/>
          <w:sz w:val="19"/>
          <w:szCs w:val="19"/>
          <w:color w:val="auto"/>
        </w:rPr>
      </w:pPr>
    </w:p>
    <w:p>
      <w:pPr>
        <w:jc w:val="both"/>
        <w:ind w:left="-540" w:firstLine="1293"/>
        <w:spacing w:after="0" w:line="250" w:lineRule="auto"/>
        <w:tabs>
          <w:tab w:leader="none" w:pos="1693"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Company shall pay to the Executive an amount in respect of the Executive's annual cash bonus compensation for the fiscal year in which the Date of Termination occurs at the greater of target or actual performance for the year, which amount shall be paid out pro-rata, based on the portion of the performance period which has elapsed as of the Date of Termination.</w:t>
      </w:r>
    </w:p>
    <w:p>
      <w:pPr>
        <w:spacing w:after="0" w:line="228" w:lineRule="exact"/>
        <w:rPr>
          <w:rFonts w:ascii="Arial" w:cs="Arial" w:eastAsia="Arial" w:hAnsi="Arial"/>
          <w:sz w:val="22"/>
          <w:szCs w:val="22"/>
          <w:color w:val="auto"/>
        </w:rPr>
      </w:pPr>
    </w:p>
    <w:p>
      <w:pPr>
        <w:jc w:val="both"/>
        <w:ind w:left="-540" w:firstLine="1293"/>
        <w:spacing w:after="0" w:line="259" w:lineRule="auto"/>
        <w:tabs>
          <w:tab w:leader="none" w:pos="1790" w:val="left"/>
        </w:tabs>
        <w:numPr>
          <w:ilvl w:val="0"/>
          <w:numId w:val="31"/>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any equity plan or arrangement by the Company or any agreement between the Company and the Executive, each New Equity Award (including any such awards which have been granted to the Executive following the Change in Control) shall become immediately and fully vested and (if applicable) exercisable as of the Date of Termination; provided that any Long Term Performance Plan award outstanding as of the Date of Termination shall be vested at the greater of target or actual performance for the year (if the Date of Termination occurs during the performance period applicable to such award), and the applicable portion of such Long Term Performance Plan award shall be paid out pro-rata based on the portion of the full vesting period of such award which has elapsed as ofthe Date of Termination.</w:t>
      </w:r>
    </w:p>
    <w:p>
      <w:pPr>
        <w:spacing w:after="0" w:line="225"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Gross Up</w:t>
      </w:r>
      <w:r>
        <w:rPr>
          <w:rFonts w:ascii="Arial" w:cs="Arial" w:eastAsia="Arial" w:hAnsi="Arial"/>
          <w:sz w:val="19"/>
          <w:szCs w:val="19"/>
          <w:color w:val="auto"/>
        </w:rPr>
        <w:t>.</w:t>
      </w:r>
    </w:p>
    <w:p>
      <w:pPr>
        <w:spacing w:after="0" w:line="260" w:lineRule="exact"/>
        <w:rPr>
          <w:sz w:val="20"/>
          <w:szCs w:val="20"/>
          <w:color w:val="auto"/>
        </w:rPr>
      </w:pPr>
    </w:p>
    <w:p>
      <w:pPr>
        <w:jc w:val="both"/>
        <w:ind w:left="-540" w:firstLine="1293"/>
        <w:spacing w:after="0" w:line="259" w:lineRule="exact"/>
        <w:tabs>
          <w:tab w:leader="none" w:pos="1705" w:val="left"/>
        </w:tabs>
        <w:numPr>
          <w:ilvl w:val="0"/>
          <w:numId w:val="32"/>
        </w:numPr>
        <w:rPr>
          <w:rFonts w:ascii="Arial" w:cs="Arial" w:eastAsia="Arial" w:hAnsi="Arial"/>
          <w:sz w:val="19"/>
          <w:szCs w:val="19"/>
          <w:color w:val="auto"/>
        </w:rPr>
      </w:pPr>
      <w:r>
        <w:rPr>
          <w:rFonts w:ascii="Arial" w:cs="Arial" w:eastAsia="Arial" w:hAnsi="Arial"/>
          <w:sz w:val="19"/>
          <w:szCs w:val="19"/>
          <w:color w:val="auto"/>
        </w:rPr>
        <w:t>Subject to Section 6.2(E) and Section 6.2(F), whether or not the Executive becomes entitled to the Severance Payments, if any of the payments or benefits received or to be received by the Executive (whether pursuant to the terms of this Agreement or any other plan, arrangement or agreement with the Company, any Person whose actions result in a Change in Control or any Person affiliated with the Company or such Person) (all such payments and benefits, excluding the Gross-Up Payment, being hereinafter referred to as the "Total Payments") will be subject to the Excise Tax, the Company shall pay to the Executive an additional amount (the "Gross</w:t>
      </w:r>
      <w:r>
        <w:rPr>
          <w:rFonts w:ascii="MS PGothic" w:cs="MS PGothic" w:eastAsia="MS PGothic" w:hAnsi="MS PGothic"/>
          <w:sz w:val="19"/>
          <w:szCs w:val="19"/>
          <w:color w:val="auto"/>
        </w:rPr>
        <w:t>‑</w:t>
      </w:r>
      <w:r>
        <w:rPr>
          <w:rFonts w:ascii="Arial" w:cs="Arial" w:eastAsia="Arial" w:hAnsi="Arial"/>
          <w:sz w:val="19"/>
          <w:szCs w:val="19"/>
          <w:color w:val="auto"/>
        </w:rPr>
        <w:t>Up Payment") such that the net amount retained by the Executive, after deduction of any Excise Tax on the Total Payments and any federal, state and local income and employment taxes and Excise Tax upon the Gross-Up Payment, shall be equal to the Total Payments.</w:t>
      </w:r>
    </w:p>
    <w:p>
      <w:pPr>
        <w:sectPr>
          <w:pgSz w:w="11900" w:h="16838" w:orient="portrait"/>
          <w:cols w:equalWidth="0" w:num="1">
            <w:col w:w="10220"/>
          </w:cols>
          <w:pgMar w:left="1440" w:top="591" w:right="239" w:bottom="1440" w:gutter="0" w:footer="0" w:header="0"/>
        </w:sectPr>
      </w:pPr>
    </w:p>
    <w:bookmarkStart w:id="97" w:name="page98"/>
    <w:bookmarkEnd w:id="97"/>
    <w:p>
      <w:pPr>
        <w:jc w:val="both"/>
        <w:ind w:left="-540" w:firstLine="1293"/>
        <w:spacing w:after="0" w:line="286" w:lineRule="auto"/>
        <w:tabs>
          <w:tab w:leader="none" w:pos="1693"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purposes of determining whether any of the Total Payments will be subject to the Excise Tax and the amount of such Excise Tax, (i) all of the Total Payments shall be treated as "parachute payments" (within the meaning of section 280G(b)(2) of the Code) unless, in the opinion of tax counsel ("Tax Counsel") reasonably acceptable to the Executive and selected by the accounting firm which was, immediately prior to the Change in Control, the Company's independent auditor (the "Auditor"), such payments or benefits (in whole or in part) do not constitute parachute payments, including by reason of section 280G(b)(4)(A) of the Code, (ii) all "excess parachute payments" within the meaning of section 280G(b)(l) of the Code shall be treated as subject to the Excise Tax unless, in the opinion of Tax Counsel, such excess parachute payments (in whole or in part) represent reasonable compensation for services actually rendered (within the meaning of section 280G(b)(4)(B) of the Code) in excess of the Base Amount allocable to such reasonable compensation, or are otherwise not subject to the Excise Tax, and (iii) the value of any noncash benefits or any deferred payment or benefit shall be determined by the Auditor in accordance with the principles of sections 280G(d)(3) and (4) of the Code. If there has not been a Date of Termination with respect to the Executive, the Company shall cause the Gross-Up Payment to be calculated within 30 days of a written request to that effect from the Executive.</w:t>
      </w:r>
    </w:p>
    <w:p>
      <w:pPr>
        <w:spacing w:after="0" w:line="207" w:lineRule="exact"/>
        <w:rPr>
          <w:rFonts w:ascii="Arial" w:cs="Arial" w:eastAsia="Arial" w:hAnsi="Arial"/>
          <w:sz w:val="19"/>
          <w:szCs w:val="19"/>
          <w:color w:val="auto"/>
        </w:rPr>
      </w:pPr>
    </w:p>
    <w:p>
      <w:pPr>
        <w:jc w:val="both"/>
        <w:ind w:left="-540" w:firstLine="1293"/>
        <w:spacing w:after="0" w:line="265" w:lineRule="auto"/>
        <w:tabs>
          <w:tab w:leader="none" w:pos="1693" w:val="left"/>
        </w:tabs>
        <w:numPr>
          <w:ilvl w:val="0"/>
          <w:numId w:val="33"/>
        </w:numPr>
        <w:rPr>
          <w:rFonts w:ascii="Arial" w:cs="Arial" w:eastAsia="Arial" w:hAnsi="Arial"/>
          <w:sz w:val="21"/>
          <w:szCs w:val="21"/>
          <w:color w:val="auto"/>
        </w:rPr>
      </w:pPr>
      <w:r>
        <w:rPr>
          <w:rFonts w:ascii="Arial" w:cs="Arial" w:eastAsia="Arial" w:hAnsi="Arial"/>
          <w:sz w:val="21"/>
          <w:szCs w:val="21"/>
          <w:color w:val="auto"/>
        </w:rPr>
        <w:t>Upon Executive's request, the Company shall promptly provide the Executive with a written statement setting forth the manner in which calculations were made pursuant to this Section 6.2 including, without limitation, any opinions or other advice the Company has received from Tax Counsel or other advisors or consultants (and any such opinions or advice which are in writing shall be attached to the statement).</w:t>
      </w:r>
    </w:p>
    <w:p>
      <w:pPr>
        <w:spacing w:after="0" w:line="216" w:lineRule="exact"/>
        <w:rPr>
          <w:rFonts w:ascii="Arial" w:cs="Arial" w:eastAsia="Arial" w:hAnsi="Arial"/>
          <w:sz w:val="21"/>
          <w:szCs w:val="21"/>
          <w:color w:val="auto"/>
        </w:rPr>
      </w:pPr>
    </w:p>
    <w:p>
      <w:pPr>
        <w:jc w:val="both"/>
        <w:ind w:left="-540" w:firstLine="1293"/>
        <w:spacing w:after="0" w:line="258" w:lineRule="exact"/>
        <w:tabs>
          <w:tab w:leader="none" w:pos="1705"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 the event that the Excise Tax is finally determined to be less than the amount taken into account hereunder in calculating the Gross-Up Payment, the Executive shall repay to the Company, within five (5) business days following the time that the amount of such reduction in the Excise Tax is finally determined, the portion of the Gross</w:t>
      </w:r>
      <w:r>
        <w:rPr>
          <w:rFonts w:ascii="MS PGothic" w:cs="MS PGothic" w:eastAsia="MS PGothic" w:hAnsi="MS PGothic"/>
          <w:sz w:val="19"/>
          <w:szCs w:val="19"/>
          <w:color w:val="auto"/>
        </w:rPr>
        <w:t>‑</w:t>
      </w:r>
      <w:r>
        <w:rPr>
          <w:rFonts w:ascii="Arial" w:cs="Arial" w:eastAsia="Arial" w:hAnsi="Arial"/>
          <w:sz w:val="19"/>
          <w:szCs w:val="19"/>
          <w:color w:val="auto"/>
        </w:rPr>
        <w:t>Up Payment attributable to such reduction (plus that portion of the Gross</w:t>
      </w:r>
      <w:r>
        <w:rPr>
          <w:rFonts w:ascii="MS PGothic" w:cs="MS PGothic" w:eastAsia="MS PGothic" w:hAnsi="MS PGothic"/>
          <w:sz w:val="19"/>
          <w:szCs w:val="19"/>
          <w:color w:val="auto"/>
        </w:rPr>
        <w:t>‑</w:t>
      </w:r>
      <w:r>
        <w:rPr>
          <w:rFonts w:ascii="Arial" w:cs="Arial" w:eastAsia="Arial" w:hAnsi="Arial"/>
          <w:sz w:val="19"/>
          <w:szCs w:val="19"/>
          <w:color w:val="auto"/>
        </w:rPr>
        <w:t>Up Payment attributable to the Excise Tax and federal, state and local income and employment taxes imposed on the Gross</w:t>
      </w:r>
      <w:r>
        <w:rPr>
          <w:rFonts w:ascii="MS PGothic" w:cs="MS PGothic" w:eastAsia="MS PGothic" w:hAnsi="MS PGothic"/>
          <w:sz w:val="19"/>
          <w:szCs w:val="19"/>
          <w:color w:val="auto"/>
        </w:rPr>
        <w:t>‑</w:t>
      </w:r>
      <w:r>
        <w:rPr>
          <w:rFonts w:ascii="Arial" w:cs="Arial" w:eastAsia="Arial" w:hAnsi="Arial"/>
          <w:sz w:val="19"/>
          <w:szCs w:val="19"/>
          <w:color w:val="auto"/>
        </w:rPr>
        <w:t>Up Payment being repaid by the Executive, to the extent that such repayment results in a reduction in the Excise Tax and a dollar-for-dollar reduction in the Executive's taxable income and wages for purposes of federal, state and local income and employment taxes), plus interest on the amount of such repayment at 120% of the rate provided in section 1274(b)(2)(B) of the Code. In the event that the Excise Tax is determined to exceed the amount taken into account hereunder in calculating the Gross-Up Payment (including by reason of any payment the existence or amount of which cannot be determined at the time of the Gross</w:t>
      </w:r>
      <w:r>
        <w:rPr>
          <w:rFonts w:ascii="MS PGothic" w:cs="MS PGothic" w:eastAsia="MS PGothic" w:hAnsi="MS PGothic"/>
          <w:sz w:val="19"/>
          <w:szCs w:val="19"/>
          <w:color w:val="auto"/>
        </w:rPr>
        <w:t>‑</w:t>
      </w:r>
      <w:r>
        <w:rPr>
          <w:rFonts w:ascii="Arial" w:cs="Arial" w:eastAsia="Arial" w:hAnsi="Arial"/>
          <w:sz w:val="19"/>
          <w:szCs w:val="19"/>
          <w:color w:val="auto"/>
        </w:rPr>
        <w:t>Up Payment), the Company shall make an additional Gross</w:t>
      </w:r>
      <w:r>
        <w:rPr>
          <w:rFonts w:ascii="MS PGothic" w:cs="MS PGothic" w:eastAsia="MS PGothic" w:hAnsi="MS PGothic"/>
          <w:sz w:val="19"/>
          <w:szCs w:val="19"/>
          <w:color w:val="auto"/>
        </w:rPr>
        <w:t>‑</w:t>
      </w:r>
      <w:r>
        <w:rPr>
          <w:rFonts w:ascii="Arial" w:cs="Arial" w:eastAsia="Arial" w:hAnsi="Arial"/>
          <w:sz w:val="19"/>
          <w:szCs w:val="19"/>
          <w:color w:val="auto"/>
        </w:rPr>
        <w:t>Up Payment in respect of such excess (plus any interest, penalties or additions payable by the Executive with respect to such excess) within five (5) business days following the time that the amount of such excess is finally determined, provided that such additional payment shall only be made to the extent that the payment (or the right to the payment) does not result in taxation under section 409A of the Code, including pursuant to Treasury Regulation Section 1.409A-3(d) (in which case the payment shall be made in no event later than the end of the calendar year following the calendar year in which the calculation of the Executive's excise tax liability under section</w:t>
      </w:r>
    </w:p>
    <w:p>
      <w:pPr>
        <w:sectPr>
          <w:pgSz w:w="11900" w:h="16838" w:orient="portrait"/>
          <w:cols w:equalWidth="0" w:num="1">
            <w:col w:w="10220"/>
          </w:cols>
          <w:pgMar w:left="1440" w:top="591" w:right="239" w:bottom="1440" w:gutter="0" w:footer="0" w:header="0"/>
        </w:sectPr>
      </w:pPr>
    </w:p>
    <w:bookmarkStart w:id="98" w:name="page99"/>
    <w:bookmarkEnd w:id="98"/>
    <w:p>
      <w:pPr>
        <w:jc w:val="both"/>
        <w:ind w:left="440"/>
        <w:spacing w:after="0" w:line="253" w:lineRule="auto"/>
        <w:rPr>
          <w:sz w:val="20"/>
          <w:szCs w:val="20"/>
          <w:color w:val="auto"/>
        </w:rPr>
      </w:pPr>
      <w:r>
        <w:rPr>
          <w:rFonts w:ascii="Arial" w:cs="Arial" w:eastAsia="Arial" w:hAnsi="Arial"/>
          <w:sz w:val="22"/>
          <w:szCs w:val="22"/>
          <w:color w:val="auto"/>
        </w:rPr>
        <w:t>280G of the Code may be calculated). The Executive and the Company shall each reasonably cooperate with the other in connection with any administrative or judicial proceedings concerning the existence or amount of liability for Excise Tax with respect to the Total Payments.</w:t>
      </w:r>
    </w:p>
    <w:p>
      <w:pPr>
        <w:spacing w:after="0" w:line="226" w:lineRule="exact"/>
        <w:rPr>
          <w:sz w:val="20"/>
          <w:szCs w:val="20"/>
          <w:color w:val="auto"/>
        </w:rPr>
      </w:pPr>
    </w:p>
    <w:p>
      <w:pPr>
        <w:jc w:val="both"/>
        <w:ind w:left="440" w:firstLine="1293"/>
        <w:spacing w:after="0" w:line="246" w:lineRule="auto"/>
        <w:tabs>
          <w:tab w:leader="none" w:pos="2661"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6.2, if it shall be determined that the Executive is entitled to a Gross-Up Payment with respect to a Change in Control occurring prior to the third anniversary of the date of this Agreement, but the Total Payments do not exceed 105% of the greatest amount that could be paid to the Executive such that the receipt of Total Payments would not give rise to any Excise Tax (the "Reduced Amount"), then no Gross-Up Payment shall be made to the Executive and the Total Payments, in the aggregate, shall be reduced to the Reduced Amount. If a reduction is required, the reduction shall be applied to the cash payment otherwise payable pursuant to Section 6.1(A) hereof.</w:t>
      </w:r>
    </w:p>
    <w:p>
      <w:pPr>
        <w:spacing w:after="0" w:line="237" w:lineRule="exact"/>
        <w:rPr>
          <w:rFonts w:ascii="Arial" w:cs="Arial" w:eastAsia="Arial" w:hAnsi="Arial"/>
          <w:sz w:val="22"/>
          <w:szCs w:val="22"/>
          <w:color w:val="auto"/>
        </w:rPr>
      </w:pPr>
    </w:p>
    <w:p>
      <w:pPr>
        <w:jc w:val="both"/>
        <w:ind w:left="440" w:firstLine="1293"/>
        <w:spacing w:after="0" w:line="289" w:lineRule="auto"/>
        <w:tabs>
          <w:tab w:leader="none" w:pos="2649"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Executive will not be entitled to a Gross-Up Payment under this Agreement with respect to any Change in Control occurring on or after the third anniversary of the date of this Agreement, but shall continue to remain entitled to a Gross-Up Payment with respect to any Change in Control occurring prior to the third anniversary of the date of this Agreement in accordance with this Section 6.2, even if the Date of Termination occurs following the third anniversary of the date of this Agreement. In the event (1) the Executive's entitlement to a Gross-Up Payment is eliminated pursuant to this Section 6.2(F) and (2) the Reduced Amount (reduced by applicable taxes) exceeds the net amount of the Total Payments which would be retained by the Executive after deduction of any Excise Tax (and all other applicable taxes) on the Total Payments, the Total Payments shall be reduced to the Reduced Amount. If a reduction is required, the reduction shall be applied to the payment otherwise payable pursuant to Section 6.1(A) hereof.</w:t>
      </w:r>
    </w:p>
    <w:p>
      <w:pPr>
        <w:spacing w:after="0" w:line="19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6.3 Except as set forth below or as required by the operation of Section 14.3, the payments provided in subsection (A) of Section 6.1, the benefits to be provided in subsection (D) of Section 6.1 and the payments provided in Section 6.2 shall be made or provided not later than the fifth day following the date upon which the release described in Section 6.5 becomes irrevocable (or, in the case of Section 6.2, if there is no Date of Termination, then the fifth day following date on which the Gross-Up Payment is calculated for purposes of Section 6.2, which calculation shall be done not later than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upon which there occurs a change in ownership or control of the Company for purposes of section 280G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amounts of such payments cannot be finally determined on or before such day, the Company shall pay to the Executive on such day an estimate, as determined in good faith by the Company or, in the case of payments under Section 6.2, in accordance with Section 6.2, of the minimum amount of such payments to which the Executive is clearly entitled and shall pay the remainder of such payments (together with interest on the unpaid remainder (or on all such payments to the extent the Company fails to make such payments when due) at 120% of the rate provided in section 1274(b)(2)</w:t>
      </w:r>
    </w:p>
    <w:p>
      <w:pPr>
        <w:spacing w:after="0" w:line="8" w:lineRule="exact"/>
        <w:rPr>
          <w:sz w:val="20"/>
          <w:szCs w:val="20"/>
          <w:color w:val="auto"/>
        </w:rPr>
      </w:pPr>
    </w:p>
    <w:p>
      <w:pPr>
        <w:jc w:val="both"/>
        <w:ind w:firstLine="4"/>
        <w:spacing w:after="0" w:line="245" w:lineRule="auto"/>
        <w:tabs>
          <w:tab w:leader="none" w:pos="364" w:val="left"/>
        </w:tabs>
        <w:numPr>
          <w:ilvl w:val="0"/>
          <w:numId w:val="35"/>
        </w:numPr>
        <w:rPr>
          <w:rFonts w:ascii="Arial" w:cs="Arial" w:eastAsia="Arial" w:hAnsi="Arial"/>
          <w:sz w:val="22"/>
          <w:szCs w:val="22"/>
          <w:color w:val="auto"/>
        </w:rPr>
      </w:pPr>
      <w:r>
        <w:rPr>
          <w:rFonts w:ascii="Arial" w:cs="Arial" w:eastAsia="Arial" w:hAnsi="Arial"/>
          <w:sz w:val="22"/>
          <w:szCs w:val="22"/>
          <w:color w:val="auto"/>
        </w:rPr>
        <w:t>of the Code) as soon as the amount thereof can be determined but in no event later than the thirtieth (30th) day after the occurrence of a Date of Termination. In the event that the amount of the estimated payments exceeds the amount subsequently determined to have been due,</w:t>
      </w:r>
    </w:p>
    <w:p>
      <w:pPr>
        <w:sectPr>
          <w:pgSz w:w="11900" w:h="16838" w:orient="portrait"/>
          <w:cols w:equalWidth="0" w:num="1">
            <w:col w:w="11200"/>
          </w:cols>
          <w:pgMar w:left="460" w:top="591" w:right="239" w:bottom="1440" w:gutter="0" w:footer="0" w:header="0"/>
        </w:sectPr>
      </w:pPr>
    </w:p>
    <w:bookmarkStart w:id="99" w:name="page100"/>
    <w:bookmarkEnd w:id="99"/>
    <w:p>
      <w:pPr>
        <w:jc w:val="both"/>
        <w:ind w:left="212"/>
        <w:spacing w:after="0" w:line="259" w:lineRule="auto"/>
        <w:rPr>
          <w:sz w:val="20"/>
          <w:szCs w:val="20"/>
          <w:color w:val="auto"/>
        </w:rPr>
      </w:pPr>
      <w:r>
        <w:rPr>
          <w:rFonts w:ascii="Arial" w:cs="Arial" w:eastAsia="Arial" w:hAnsi="Arial"/>
          <w:sz w:val="21"/>
          <w:szCs w:val="21"/>
          <w:color w:val="auto"/>
        </w:rPr>
        <w:t>such excess shall constitute a loan by the Company to the Executive, payable on the fifth (5th) business day after demand by the Company (together with interest at 120% of the rate provided in section 1274(b)(2)(B) of the Code). At the time that payments are made under this Agreement, the Company shall provide the Executive with a written statement setting forth the manner in which such payments were calculated and the basis for such calculations including, without limitation, any opinions or other advice the Company has received from Tax Counsel, the Auditor or other advisors or consultants (and any such opinions or advice which are in writing shall be attached to the statement). The payments provided in Section 6.1(C) will be paid not later than 75 days following the end of the calendar year in which the Date of Termination occurs, unless another payment date is required by the operation of Section 14.3.</w:t>
      </w:r>
    </w:p>
    <w:p>
      <w:pPr>
        <w:spacing w:after="0" w:line="225" w:lineRule="exact"/>
        <w:rPr>
          <w:sz w:val="20"/>
          <w:szCs w:val="20"/>
          <w:color w:val="auto"/>
        </w:rPr>
      </w:pPr>
    </w:p>
    <w:p>
      <w:pPr>
        <w:jc w:val="both"/>
        <w:ind w:left="212" w:firstLine="1296"/>
        <w:spacing w:after="0" w:line="289" w:lineRule="auto"/>
        <w:rPr>
          <w:sz w:val="20"/>
          <w:szCs w:val="20"/>
          <w:color w:val="auto"/>
        </w:rPr>
      </w:pPr>
      <w:r>
        <w:rPr>
          <w:rFonts w:ascii="Arial" w:cs="Arial" w:eastAsia="Arial" w:hAnsi="Arial"/>
          <w:sz w:val="19"/>
          <w:szCs w:val="19"/>
          <w:color w:val="auto"/>
        </w:rPr>
        <w:t>6.4 The Company shall pay to the Executive all legal fees and expenses incurred by the Executive in disputing in good faith any issue hereunder relating to the termination of the Executive's employment, in seeking in good faith to obtain or enforce any benefit or right provided by this Agreement or in connection with any tax audit or proceeding to the extent attributable to the application of section 4999 of the Code to any payment or benefit provided hereunder. Such payments shall be made within five (5) business days after delivery of the Executive's written requests for payment accompanied with such evidence of fees and expenses incurred as the Company reasonably may require. The Executive's reimbursement rights described in this Section 6.4 shall remain in effect for the life of the Executive, provided, that, in order for the Executive to be entitled to reimbursement hereunder, the Executive must submit the written reimbursement request described above within 180 days following the date upon which the applicable fee or expense is incurred.</w:t>
      </w:r>
    </w:p>
    <w:p>
      <w:pPr>
        <w:spacing w:after="0" w:line="198" w:lineRule="exact"/>
        <w:rPr>
          <w:sz w:val="20"/>
          <w:szCs w:val="20"/>
          <w:color w:val="auto"/>
        </w:rPr>
      </w:pPr>
    </w:p>
    <w:p>
      <w:pPr>
        <w:jc w:val="both"/>
        <w:ind w:left="212" w:firstLine="1296"/>
        <w:spacing w:after="0" w:line="248" w:lineRule="auto"/>
        <w:rPr>
          <w:sz w:val="20"/>
          <w:szCs w:val="20"/>
          <w:color w:val="auto"/>
        </w:rPr>
      </w:pPr>
      <w:r>
        <w:rPr>
          <w:rFonts w:ascii="Arial" w:cs="Arial" w:eastAsia="Arial" w:hAnsi="Arial"/>
          <w:sz w:val="21"/>
          <w:szCs w:val="21"/>
          <w:color w:val="auto"/>
        </w:rPr>
        <w:t>6.5 Notwithstanding anything in this Agreement to the contrary, the Executive's entitlement to payments and benefits described in Section 6.1 hereof shall be conditioned upon the Executive's execution and non-revocation of a customary and reasonable release of claims in favor of the Company, which release of claims shall be delivered to the Executive on the Date of Termination and which shall be required to be executed not later than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such Date of Termination. If such 60 day period includes portions of two calendar years, then for purposes of the first sentence of Section 6.3, the release of claims shall be deemed to have become irrevocable in the later of such calendar years, notwithstanding that it may in fact have become irrevocable in the earlier calendar year.</w:t>
      </w:r>
    </w:p>
    <w:p>
      <w:pPr>
        <w:spacing w:after="0" w:line="235" w:lineRule="exact"/>
        <w:rPr>
          <w:sz w:val="20"/>
          <w:szCs w:val="20"/>
          <w:color w:val="auto"/>
        </w:rPr>
      </w:pPr>
    </w:p>
    <w:p>
      <w:pPr>
        <w:ind w:left="652" w:hanging="652"/>
        <w:spacing w:after="0"/>
        <w:tabs>
          <w:tab w:leader="none" w:pos="65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Termination Procedures and Compensation During Dispute</w:t>
      </w:r>
      <w:r>
        <w:rPr>
          <w:rFonts w:ascii="Arial" w:cs="Arial" w:eastAsia="Arial" w:hAnsi="Arial"/>
          <w:sz w:val="22"/>
          <w:szCs w:val="22"/>
          <w:color w:val="auto"/>
        </w:rPr>
        <w:t>.</w:t>
      </w:r>
    </w:p>
    <w:p>
      <w:pPr>
        <w:sectPr>
          <w:pgSz w:w="11900" w:h="16838" w:orient="portrait"/>
          <w:cols w:equalWidth="0" w:num="1">
            <w:col w:w="11412"/>
          </w:cols>
          <w:pgMar w:left="248" w:top="591" w:right="239" w:bottom="1440" w:gutter="0" w:footer="0" w:header="0"/>
        </w:sectPr>
      </w:pPr>
    </w:p>
    <w:bookmarkStart w:id="100" w:name="page101"/>
    <w:bookmarkEnd w:id="100"/>
    <w:p>
      <w:pPr>
        <w:jc w:val="both"/>
        <w:ind w:firstLine="1296"/>
        <w:spacing w:after="0" w:line="258"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After a Change in Control, any purported termination of the Executive's employment (other than by reason of death) shall be communicated by written Notice of Termination from one party hereto to the other party hereto in accordance with Section 10. For purposes of this Agreement, a "Notice of Termination" shall mean a notice which shall indicate the specific termination provision in this Agreement relied upon and shall set forth in reasonable detail any facts and circumstances claimed to provide a basis for termination of the Executive's employment under the provision so indicated. Further, a Notice of Termination for Cause is required to include a copy of a resolution duly adopted by the affirmative vote of not less than two-thirds (2/3) of the entire membership of the Board at a meeting of the Board which was called and held for the purpose of considering such termination (after reasonable notice to the Executive and an opportunity for the Executive, together with the Executive's counsel, to be heard before the Board) finding that, in the good faith opinion of the Board, the Executive was guilty of conduct set forth in clause (i), (ii) or (iii) of the definition of Cause herein, and specifying the particulars thereof in detail.</w:t>
      </w:r>
    </w:p>
    <w:p>
      <w:pPr>
        <w:spacing w:after="0" w:line="224" w:lineRule="exact"/>
        <w:rPr>
          <w:sz w:val="20"/>
          <w:szCs w:val="20"/>
          <w:color w:val="auto"/>
        </w:rPr>
      </w:pPr>
    </w:p>
    <w:p>
      <w:pPr>
        <w:jc w:val="both"/>
        <w:ind w:firstLine="1296"/>
        <w:spacing w:after="0" w:line="260" w:lineRule="exact"/>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with respect to any purported termination of the Executive's employment after a Change in Control, shall mean (i) if the Executive's employment is terminated for Disability, thirty (30) days after Notice of Termination is given (provided that the Executive shall not have returned to the full</w:t>
      </w:r>
      <w:r>
        <w:rPr>
          <w:rFonts w:ascii="MS PGothic" w:cs="MS PGothic" w:eastAsia="MS PGothic" w:hAnsi="MS PGothic"/>
          <w:sz w:val="19"/>
          <w:szCs w:val="19"/>
          <w:color w:val="auto"/>
        </w:rPr>
        <w:t>‑</w:t>
      </w:r>
      <w:r>
        <w:rPr>
          <w:rFonts w:ascii="Arial" w:cs="Arial" w:eastAsia="Arial" w:hAnsi="Arial"/>
          <w:sz w:val="19"/>
          <w:szCs w:val="19"/>
          <w:color w:val="auto"/>
        </w:rPr>
        <w:t>time performance of the Executive's duties during such thirty (30) day period), and (ii) if the Executive's employment is terminated for any other reason, the date specified in the Notice of Termination (which, in the case of a termination by the Company, shall not be less than thirty</w:t>
      </w:r>
    </w:p>
    <w:p>
      <w:pPr>
        <w:spacing w:after="0" w:line="4" w:lineRule="exact"/>
        <w:rPr>
          <w:sz w:val="20"/>
          <w:szCs w:val="20"/>
          <w:color w:val="auto"/>
        </w:rPr>
      </w:pPr>
    </w:p>
    <w:p>
      <w:pPr>
        <w:jc w:val="both"/>
        <w:ind w:firstLine="4"/>
        <w:spacing w:after="0" w:line="245" w:lineRule="auto"/>
        <w:tabs>
          <w:tab w:leader="none" w:pos="418" w:val="left"/>
        </w:tabs>
        <w:numPr>
          <w:ilvl w:val="0"/>
          <w:numId w:val="37"/>
        </w:numPr>
        <w:rPr>
          <w:rFonts w:ascii="Arial" w:cs="Arial" w:eastAsia="Arial" w:hAnsi="Arial"/>
          <w:sz w:val="22"/>
          <w:szCs w:val="22"/>
          <w:color w:val="auto"/>
        </w:rPr>
      </w:pPr>
      <w:r>
        <w:rPr>
          <w:rFonts w:ascii="Arial" w:cs="Arial" w:eastAsia="Arial" w:hAnsi="Arial"/>
          <w:sz w:val="22"/>
          <w:szCs w:val="22"/>
          <w:color w:val="auto"/>
        </w:rPr>
        <w:t>days (except in the case of a termination for Cause) and, in the case of a termination by the Executive, shall not be less than fifteen (15) days nor more than sixty (60) days, respectively, from the date the Company's right to cure set forth in Section 16.16 expires).</w:t>
      </w:r>
    </w:p>
    <w:p>
      <w:pPr>
        <w:spacing w:after="0" w:line="23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Dispute Concerning Termination</w:t>
      </w:r>
      <w:r>
        <w:rPr>
          <w:rFonts w:ascii="Arial" w:cs="Arial" w:eastAsia="Arial" w:hAnsi="Arial"/>
          <w:sz w:val="19"/>
          <w:szCs w:val="19"/>
          <w:color w:val="auto"/>
        </w:rPr>
        <w:t xml:space="preserve">. If within ten (10) days after any Notice of Termination is given, or, if later, prior to the Date of Termination (as determined without regard to this Section 7.3), the party receiving such Notice of Termination notifies the other party that a dispute exists concerning the termination, the Date of Termination shall be extended until the earlier of (i) the date on which the Term ends or (ii) 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Date of Termination shall be extended by a notice of dispute given by the Executive only if such notice is given in good faith and the Executive pursues the resolution of such dispute with reasonable diligence.</w:t>
      </w:r>
    </w:p>
    <w:p>
      <w:pPr>
        <w:spacing w:after="0" w:line="19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Compensation During Dispute</w:t>
      </w:r>
      <w:r>
        <w:rPr>
          <w:rFonts w:ascii="Arial" w:cs="Arial" w:eastAsia="Arial" w:hAnsi="Arial"/>
          <w:sz w:val="21"/>
          <w:szCs w:val="21"/>
          <w:color w:val="auto"/>
        </w:rPr>
        <w:t>. If the Date of Termination is extended in accordance with Section 7.3, the Company shall continue to pay the Executive the full compensation in effect when the notice giving rise to the dispute was given (including, but not limited to, the Base Salary) and continue the Executive as a participant in all compensation, benefit and insurance plans in which the Executive was participating when the notice giving rise to the dispute was given, until the Date of Termination, as determined in accordance with Section 7.3. Amounts paid under</w:t>
      </w:r>
    </w:p>
    <w:p>
      <w:pPr>
        <w:sectPr>
          <w:pgSz w:w="11900" w:h="16838" w:orient="portrait"/>
          <w:cols w:equalWidth="0" w:num="1">
            <w:col w:w="11200"/>
          </w:cols>
          <w:pgMar w:left="460" w:top="847" w:right="239" w:bottom="1440" w:gutter="0" w:footer="0" w:header="0"/>
        </w:sectPr>
      </w:pPr>
    </w:p>
    <w:bookmarkStart w:id="101" w:name="page102"/>
    <w:bookmarkEnd w:id="101"/>
    <w:p>
      <w:pPr>
        <w:ind w:left="212"/>
        <w:spacing w:after="0" w:line="263" w:lineRule="auto"/>
        <w:rPr>
          <w:sz w:val="20"/>
          <w:szCs w:val="20"/>
          <w:color w:val="auto"/>
        </w:rPr>
      </w:pPr>
      <w:r>
        <w:rPr>
          <w:rFonts w:ascii="Arial" w:cs="Arial" w:eastAsia="Arial" w:hAnsi="Arial"/>
          <w:sz w:val="22"/>
          <w:szCs w:val="22"/>
          <w:color w:val="auto"/>
        </w:rPr>
        <w:t>this Section 7.4 are in addition to all other amounts due under this Agreement (other than those due under Section 5.1) and shall not be offset against or reduce any other amounts due under this Agreement.</w:t>
      </w:r>
    </w:p>
    <w:p>
      <w:pPr>
        <w:spacing w:after="0" w:line="215" w:lineRule="exact"/>
        <w:rPr>
          <w:sz w:val="20"/>
          <w:szCs w:val="20"/>
          <w:color w:val="auto"/>
        </w:rPr>
      </w:pPr>
    </w:p>
    <w:p>
      <w:pPr>
        <w:jc w:val="both"/>
        <w:ind w:left="652" w:hanging="652"/>
        <w:spacing w:after="0" w:line="247" w:lineRule="auto"/>
        <w:tabs>
          <w:tab w:leader="none" w:pos="6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If the Executive's employment with the Company terminates following a Change in Control, the Executive is not required to seek other employment or to attempt in any way to reduce any amounts payable to the Executive by the Company pursuant to Section 6 or Section 7.4. Except as set forth in Section 6.1(B), the amount of any payment or benefit provided for or referenced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234" w:lineRule="exact"/>
        <w:rPr>
          <w:rFonts w:ascii="Arial" w:cs="Arial" w:eastAsia="Arial" w:hAnsi="Arial"/>
          <w:sz w:val="22"/>
          <w:szCs w:val="22"/>
          <w:color w:val="auto"/>
        </w:rPr>
      </w:pPr>
    </w:p>
    <w:p>
      <w:pPr>
        <w:ind w:left="652" w:hanging="652"/>
        <w:spacing w:after="0"/>
        <w:tabs>
          <w:tab w:leader="none" w:pos="6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Entire Agreement; Binding Agreement</w:t>
      </w:r>
      <w:r>
        <w:rPr>
          <w:rFonts w:ascii="Arial" w:cs="Arial" w:eastAsia="Arial" w:hAnsi="Arial"/>
          <w:sz w:val="22"/>
          <w:szCs w:val="22"/>
          <w:color w:val="auto"/>
        </w:rPr>
        <w:t>.</w:t>
      </w:r>
    </w:p>
    <w:p>
      <w:pPr>
        <w:spacing w:after="0" w:line="260" w:lineRule="exact"/>
        <w:rPr>
          <w:sz w:val="20"/>
          <w:szCs w:val="20"/>
          <w:color w:val="auto"/>
        </w:rPr>
      </w:pPr>
    </w:p>
    <w:p>
      <w:pPr>
        <w:jc w:val="both"/>
        <w:ind w:left="212" w:firstLine="1296"/>
        <w:spacing w:after="0" w:line="263" w:lineRule="auto"/>
        <w:rPr>
          <w:sz w:val="20"/>
          <w:szCs w:val="20"/>
          <w:color w:val="auto"/>
        </w:rPr>
      </w:pPr>
      <w:r>
        <w:rPr>
          <w:rFonts w:ascii="Arial" w:cs="Arial" w:eastAsia="Arial" w:hAnsi="Arial"/>
          <w:sz w:val="21"/>
          <w:szCs w:val="21"/>
          <w:color w:val="auto"/>
        </w:rPr>
        <w:t xml:space="preserve">9.1 This Agreement supersedes any other agreements, including the Prior Agreement, or representations, oral or otherwise, express or implied, with respect to the subject matter hereof (including the Change in Control Agreement by and between the Company and the Executive dated February 22, 2007) which have been made by either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Agreement shall not supersede any agreement setting forth the terms and conditions of the Executive's employment with the Company or any subsidiary of the Company.</w:t>
      </w:r>
    </w:p>
    <w:p>
      <w:pPr>
        <w:spacing w:after="0" w:line="216" w:lineRule="exact"/>
        <w:rPr>
          <w:sz w:val="20"/>
          <w:szCs w:val="20"/>
          <w:color w:val="auto"/>
        </w:rPr>
      </w:pPr>
    </w:p>
    <w:p>
      <w:pPr>
        <w:jc w:val="both"/>
        <w:ind w:left="212" w:firstLine="1296"/>
        <w:spacing w:after="0" w:line="247" w:lineRule="auto"/>
        <w:rPr>
          <w:sz w:val="20"/>
          <w:szCs w:val="20"/>
          <w:color w:val="auto"/>
        </w:rPr>
      </w:pPr>
      <w:r>
        <w:rPr>
          <w:rFonts w:ascii="Arial" w:cs="Arial" w:eastAsia="Arial" w:hAnsi="Arial"/>
          <w:sz w:val="22"/>
          <w:szCs w:val="22"/>
          <w:color w:val="auto"/>
        </w:rPr>
        <w:t>9.2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(other than amounts which, by their terms, terminate upon the death of the Executive) if the Executive had continued to live, all such amounts, unless otherwise provided herein, shall be paid in accordance with the terms of this Agreement to the executors, personal representatives or administrators of the Executive's estate.</w:t>
      </w:r>
    </w:p>
    <w:p>
      <w:pPr>
        <w:spacing w:after="0" w:line="234" w:lineRule="exact"/>
        <w:rPr>
          <w:sz w:val="20"/>
          <w:szCs w:val="20"/>
          <w:color w:val="auto"/>
        </w:rPr>
      </w:pPr>
    </w:p>
    <w:p>
      <w:pPr>
        <w:jc w:val="both"/>
        <w:ind w:left="652" w:hanging="652"/>
        <w:spacing w:after="0" w:line="294" w:lineRule="auto"/>
        <w:tabs>
          <w:tab w:leader="none" w:pos="65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the purpose of this Agreement, notices and all other communications provided for in the Agreement shall be in writing and shall be deemed to have been duly given when delivered or mailed by United States registered or certified mail, return receipt requested, postage prepaid, addressed to the last known residence address of the Executive or in the case of the Company, to its principal office to the attention of the General Counsel of the Company with a copy to its clerk or Secretary, or to such other address as either party may have furnished to the other in writing in accordance herewith, except that notice of change of address shall be effective only upon receipt.</w:t>
      </w:r>
    </w:p>
    <w:p>
      <w:pPr>
        <w:spacing w:after="0" w:line="190" w:lineRule="exact"/>
        <w:rPr>
          <w:rFonts w:ascii="Arial" w:cs="Arial" w:eastAsia="Arial" w:hAnsi="Arial"/>
          <w:sz w:val="19"/>
          <w:szCs w:val="19"/>
          <w:color w:val="auto"/>
        </w:rPr>
      </w:pPr>
    </w:p>
    <w:p>
      <w:pPr>
        <w:jc w:val="both"/>
        <w:ind w:left="652" w:hanging="652"/>
        <w:spacing w:after="0" w:line="263" w:lineRule="auto"/>
        <w:tabs>
          <w:tab w:leader="none" w:pos="652"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No provision of this Agreement may be modified, waived or discharged unless such waiver, modification or discharge is agreed to in writing and signed by the Executive and such officer as may be specifically designated by the Board. No waiver by either party hereto at any time of any breach by the other party hereto of, or of any lack of compliance with, any condition or provision of this Agreement to be performed by such other party shall be deemed a waiver of similar or dissimilar provisions or conditions at the same or at any</w:t>
      </w:r>
    </w:p>
    <w:p>
      <w:pPr>
        <w:sectPr>
          <w:pgSz w:w="11900" w:h="16838" w:orient="portrait"/>
          <w:cols w:equalWidth="0" w:num="1">
            <w:col w:w="11412"/>
          </w:cols>
          <w:pgMar w:left="248" w:top="591" w:right="239" w:bottom="1440" w:gutter="0" w:footer="0" w:header="0"/>
        </w:sectPr>
      </w:pPr>
    </w:p>
    <w:bookmarkStart w:id="102" w:name="page103"/>
    <w:bookmarkEnd w:id="102"/>
    <w:p>
      <w:pPr>
        <w:jc w:val="both"/>
        <w:ind w:left="652"/>
        <w:spacing w:after="0" w:line="246" w:lineRule="auto"/>
        <w:rPr>
          <w:sz w:val="20"/>
          <w:szCs w:val="20"/>
          <w:color w:val="auto"/>
        </w:rPr>
      </w:pPr>
      <w:r>
        <w:rPr>
          <w:rFonts w:ascii="Arial" w:cs="Arial" w:eastAsia="Arial" w:hAnsi="Arial"/>
          <w:sz w:val="22"/>
          <w:szCs w:val="22"/>
          <w:color w:val="auto"/>
        </w:rPr>
        <w:t>prior or subsequent time. The validity, interpretation, construction and performance of this Agreement shall be governed by the laws of the State of Washington. All references to sections of the Exchange Act or the Code shall be deemed also to refer to any successor provisions to such sections. Any payments provided for hereunder shall be paid net of any applicable withholding required under federal, state or local law and any additional withholding to which the Executive has agreed. The obligations of the Company and the Executive under this Agreement which by their nature may require either partial or total performance after the expiration of the Term (including, without limitation, those under Sections 6, 7 and 15) shall survive such expiration.</w:t>
      </w:r>
    </w:p>
    <w:p>
      <w:pPr>
        <w:spacing w:after="0" w:line="238" w:lineRule="exact"/>
        <w:rPr>
          <w:sz w:val="20"/>
          <w:szCs w:val="20"/>
          <w:color w:val="auto"/>
        </w:rPr>
      </w:pPr>
    </w:p>
    <w:p>
      <w:pPr>
        <w:ind w:left="652" w:hanging="652"/>
        <w:spacing w:after="0" w:line="263" w:lineRule="auto"/>
        <w:tabs>
          <w:tab w:leader="none" w:pos="65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Validity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which shall remain in full force and effect.</w:t>
      </w:r>
    </w:p>
    <w:p>
      <w:pPr>
        <w:spacing w:after="0" w:line="215" w:lineRule="exact"/>
        <w:rPr>
          <w:rFonts w:ascii="Arial" w:cs="Arial" w:eastAsia="Arial" w:hAnsi="Arial"/>
          <w:sz w:val="22"/>
          <w:szCs w:val="22"/>
          <w:color w:val="auto"/>
        </w:rPr>
      </w:pPr>
    </w:p>
    <w:p>
      <w:pPr>
        <w:ind w:left="652" w:right="20" w:hanging="652"/>
        <w:spacing w:after="0" w:line="263" w:lineRule="auto"/>
        <w:tabs>
          <w:tab w:leader="none" w:pos="65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instrument.</w:t>
      </w:r>
    </w:p>
    <w:p>
      <w:pPr>
        <w:spacing w:after="0" w:line="215" w:lineRule="exact"/>
        <w:rPr>
          <w:rFonts w:ascii="Arial" w:cs="Arial" w:eastAsia="Arial" w:hAnsi="Arial"/>
          <w:sz w:val="22"/>
          <w:szCs w:val="22"/>
          <w:color w:val="auto"/>
        </w:rPr>
      </w:pPr>
    </w:p>
    <w:p>
      <w:pPr>
        <w:ind w:left="652" w:hanging="652"/>
        <w:spacing w:after="0"/>
        <w:tabs>
          <w:tab w:leader="none" w:pos="65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Settlement of Disputes; Arbitration; 409A Compliance</w:t>
      </w:r>
      <w:r>
        <w:rPr>
          <w:rFonts w:ascii="Arial" w:cs="Arial" w:eastAsia="Arial" w:hAnsi="Arial"/>
          <w:sz w:val="22"/>
          <w:szCs w:val="22"/>
          <w:color w:val="auto"/>
        </w:rPr>
        <w:t>.</w:t>
      </w:r>
    </w:p>
    <w:p>
      <w:pPr>
        <w:spacing w:after="0" w:line="260" w:lineRule="exact"/>
        <w:rPr>
          <w:sz w:val="20"/>
          <w:szCs w:val="20"/>
          <w:color w:val="auto"/>
        </w:rPr>
      </w:pPr>
    </w:p>
    <w:p>
      <w:pPr>
        <w:jc w:val="both"/>
        <w:ind w:left="212" w:firstLine="1296"/>
        <w:spacing w:after="0" w:line="261" w:lineRule="auto"/>
        <w:rPr>
          <w:sz w:val="20"/>
          <w:szCs w:val="20"/>
          <w:color w:val="auto"/>
        </w:rPr>
      </w:pPr>
      <w:r>
        <w:rPr>
          <w:rFonts w:ascii="Arial" w:cs="Arial" w:eastAsia="Arial" w:hAnsi="Arial"/>
          <w:sz w:val="21"/>
          <w:szCs w:val="21"/>
          <w:color w:val="auto"/>
        </w:rPr>
        <w:t>14.1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and shall further allow the Executive to appeal to the Board a decision of the Board within sixty (60) days after notification by the Board that the Executive's claim has been denied.</w:t>
      </w:r>
    </w:p>
    <w:p>
      <w:pPr>
        <w:spacing w:after="0" w:line="221" w:lineRule="exact"/>
        <w:rPr>
          <w:sz w:val="20"/>
          <w:szCs w:val="20"/>
          <w:color w:val="auto"/>
        </w:rPr>
      </w:pPr>
    </w:p>
    <w:p>
      <w:pPr>
        <w:jc w:val="both"/>
        <w:ind w:left="212" w:firstLine="1296"/>
        <w:spacing w:after="0" w:line="261" w:lineRule="auto"/>
        <w:rPr>
          <w:sz w:val="20"/>
          <w:szCs w:val="20"/>
          <w:color w:val="auto"/>
        </w:rPr>
      </w:pPr>
      <w:r>
        <w:rPr>
          <w:rFonts w:ascii="Arial" w:cs="Arial" w:eastAsia="Arial" w:hAnsi="Arial"/>
          <w:sz w:val="21"/>
          <w:szCs w:val="21"/>
          <w:color w:val="auto"/>
        </w:rPr>
        <w:t xml:space="preserve">14.2 Any further dispute or controversy arising under or in connection with this Agreement shall be settled exclusively by arbitration in Seattle, Washington in accordance with the rules of the American Arbitration Association then in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evidentiary standards set forth in this Agreement shall apply. Judgment may be entered on the arbitrator's award in any court having jurisdiction. Notwithstanding any provision of this Agreement to the contrary, the Executive shall be entitled to seek specific performance of the Executive's right to be paid until the Date of Termination during the pendency of any dispute or controversy arising under or in connection with this Agreement.</w:t>
      </w:r>
    </w:p>
    <w:p>
      <w:pPr>
        <w:spacing w:after="0" w:line="221" w:lineRule="exact"/>
        <w:rPr>
          <w:sz w:val="20"/>
          <w:szCs w:val="20"/>
          <w:color w:val="auto"/>
        </w:rPr>
      </w:pPr>
    </w:p>
    <w:p>
      <w:pPr>
        <w:jc w:val="both"/>
        <w:ind w:left="212" w:firstLine="1296"/>
        <w:spacing w:after="0" w:line="250" w:lineRule="auto"/>
        <w:rPr>
          <w:sz w:val="20"/>
          <w:szCs w:val="20"/>
          <w:color w:val="auto"/>
        </w:rPr>
      </w:pPr>
      <w:r>
        <w:rPr>
          <w:rFonts w:ascii="Arial" w:cs="Arial" w:eastAsia="Arial" w:hAnsi="Arial"/>
          <w:sz w:val="22"/>
          <w:szCs w:val="22"/>
          <w:color w:val="auto"/>
        </w:rPr>
        <w:t>14.3 It is the intention of the Company and the Executive that this Agreement not result in taxation of the Executive under Section 409A of the Code and the regulations and guidance promulgated thereunder and that the Agreement shall be construed in accordance with such intention. Without limiting the generality of the foregoing, the Company and the Executive agree as follows:</w:t>
      </w:r>
    </w:p>
    <w:p>
      <w:pPr>
        <w:spacing w:after="0" w:line="229" w:lineRule="exact"/>
        <w:rPr>
          <w:sz w:val="20"/>
          <w:szCs w:val="20"/>
          <w:color w:val="auto"/>
        </w:rPr>
      </w:pPr>
    </w:p>
    <w:p>
      <w:pPr>
        <w:ind w:left="652" w:firstLine="1293"/>
        <w:spacing w:after="0" w:line="263" w:lineRule="auto"/>
        <w:tabs>
          <w:tab w:leader="none" w:pos="2897" w:val="left"/>
        </w:tabs>
        <w:numPr>
          <w:ilvl w:val="0"/>
          <w:numId w:val="41"/>
        </w:numPr>
        <w:rPr>
          <w:rFonts w:ascii="Arial" w:cs="Arial" w:eastAsia="Arial" w:hAnsi="Arial"/>
          <w:sz w:val="22"/>
          <w:szCs w:val="22"/>
          <w:color w:val="auto"/>
        </w:rPr>
      </w:pPr>
      <w:r>
        <w:rPr>
          <w:rFonts w:ascii="Arial" w:cs="Arial" w:eastAsia="Arial" w:hAnsi="Arial"/>
          <w:sz w:val="22"/>
          <w:szCs w:val="22"/>
          <w:color w:val="auto"/>
        </w:rPr>
        <w:t>Notwithstanding anything to the contrary herein, if the Executive is a “specified employee” (within the meaning of Section 409A(a)(2)(B)(i) of the Code) with</w:t>
      </w:r>
    </w:p>
    <w:p>
      <w:pPr>
        <w:sectPr>
          <w:pgSz w:w="11900" w:h="16838" w:orient="portrait"/>
          <w:cols w:equalWidth="0" w:num="1">
            <w:col w:w="11412"/>
          </w:cols>
          <w:pgMar w:left="248" w:top="591" w:right="239" w:bottom="1440" w:gutter="0" w:footer="0" w:header="0"/>
        </w:sectPr>
      </w:pPr>
    </w:p>
    <w:bookmarkStart w:id="103" w:name="page104"/>
    <w:bookmarkEnd w:id="103"/>
    <w:p>
      <w:pPr>
        <w:jc w:val="both"/>
        <w:ind w:left="660"/>
        <w:spacing w:after="0" w:line="250" w:lineRule="auto"/>
        <w:rPr>
          <w:sz w:val="20"/>
          <w:szCs w:val="20"/>
          <w:color w:val="auto"/>
        </w:rPr>
      </w:pPr>
      <w:r>
        <w:rPr>
          <w:rFonts w:ascii="Arial" w:cs="Arial" w:eastAsia="Arial" w:hAnsi="Arial"/>
          <w:sz w:val="22"/>
          <w:szCs w:val="22"/>
          <w:color w:val="auto"/>
        </w:rPr>
        <w:t>respect to the Company, any amounts (or benefits) otherwise payable to or in respect of him under this Agreement pursuant to the Executive's termination of employment with the Company shall be delayed, to the extent required so that taxes are not imposed on the Executive pursuant to Section 409A of the Code, and shall be paid upon the earliest date permitted by Section 409A(a)(2) of the Code;</w:t>
      </w:r>
    </w:p>
    <w:p>
      <w:pPr>
        <w:spacing w:after="0" w:line="229" w:lineRule="exact"/>
        <w:rPr>
          <w:sz w:val="20"/>
          <w:szCs w:val="20"/>
          <w:color w:val="auto"/>
        </w:rPr>
      </w:pPr>
    </w:p>
    <w:p>
      <w:pPr>
        <w:jc w:val="both"/>
        <w:ind w:left="660" w:firstLine="1293"/>
        <w:spacing w:after="0" w:line="253" w:lineRule="auto"/>
        <w:tabs>
          <w:tab w:leader="none" w:pos="2893" w:val="left"/>
        </w:tabs>
        <w:numPr>
          <w:ilvl w:val="1"/>
          <w:numId w:val="42"/>
        </w:numPr>
        <w:rPr>
          <w:rFonts w:ascii="Arial" w:cs="Arial" w:eastAsia="Arial" w:hAnsi="Arial"/>
          <w:sz w:val="22"/>
          <w:szCs w:val="22"/>
          <w:color w:val="auto"/>
        </w:rPr>
      </w:pPr>
      <w:r>
        <w:rPr>
          <w:rFonts w:ascii="Arial" w:cs="Arial" w:eastAsia="Arial" w:hAnsi="Arial"/>
          <w:sz w:val="22"/>
          <w:szCs w:val="22"/>
          <w:color w:val="auto"/>
        </w:rPr>
        <w:t>For purposes of this Agreement, the Executive's employment with the Company will not be treated as terminated unless and until such termination of employment constitutes a "separation from service" for purposes of Section 409A of the Code;</w:t>
      </w:r>
    </w:p>
    <w:p>
      <w:pPr>
        <w:spacing w:after="0" w:line="226" w:lineRule="exact"/>
        <w:rPr>
          <w:rFonts w:ascii="Arial" w:cs="Arial" w:eastAsia="Arial" w:hAnsi="Arial"/>
          <w:sz w:val="22"/>
          <w:szCs w:val="22"/>
          <w:color w:val="auto"/>
        </w:rPr>
      </w:pPr>
    </w:p>
    <w:p>
      <w:pPr>
        <w:jc w:val="both"/>
        <w:ind w:left="660" w:firstLine="1293"/>
        <w:spacing w:after="0" w:line="289" w:lineRule="auto"/>
        <w:tabs>
          <w:tab w:leader="none" w:pos="2893" w:val="left"/>
        </w:tabs>
        <w:numPr>
          <w:ilvl w:val="1"/>
          <w:numId w:val="42"/>
        </w:numPr>
        <w:rPr>
          <w:rFonts w:ascii="Arial" w:cs="Arial" w:eastAsia="Arial" w:hAnsi="Arial"/>
          <w:sz w:val="19"/>
          <w:szCs w:val="19"/>
          <w:color w:val="auto"/>
        </w:rPr>
      </w:pPr>
      <w:r>
        <w:rPr>
          <w:rFonts w:ascii="Arial" w:cs="Arial" w:eastAsia="Arial" w:hAnsi="Arial"/>
          <w:sz w:val="19"/>
          <w:szCs w:val="19"/>
          <w:color w:val="auto"/>
        </w:rPr>
        <w:t>To the extent necessary to comply with the provisions of Section 409A of the Code and the guidance issued thereunder (1) reimbursements to or tax gross-ups of the Executive as a result of the operation of Section 6.1(B), Section 6.2 or Section 6.4 hereof shall be made not later than the end of the calendar year following the year in which the reimbursable expense is incurred or applicable tax is paid and shall otherwise be made in a manner that complies with the requirements of Treasury Regulation Section 1.409A-3(i)(l)(iv), (2) if Executive is a "specified employee" (within the meaning of Section 409A(a)(2)(B)(i) of the Code), any reimbursements to the Executive as a result of the operation of such sections with respect to a reimbursable event within the first six months following the Date of Termination which are required to be delayed pursuant to Section 14.1(A) shall be made as soon as practicable following the date which is six months and one day following the Date of Termination (subject to clause (A) of this sentence); and</w:t>
      </w:r>
    </w:p>
    <w:p>
      <w:pPr>
        <w:spacing w:after="0" w:line="198" w:lineRule="exact"/>
        <w:rPr>
          <w:rFonts w:ascii="Arial" w:cs="Arial" w:eastAsia="Arial" w:hAnsi="Arial"/>
          <w:sz w:val="19"/>
          <w:szCs w:val="19"/>
          <w:color w:val="auto"/>
        </w:rPr>
      </w:pPr>
    </w:p>
    <w:p>
      <w:pPr>
        <w:jc w:val="both"/>
        <w:ind w:left="660" w:firstLine="1293"/>
        <w:spacing w:after="0" w:line="265" w:lineRule="auto"/>
        <w:tabs>
          <w:tab w:leader="none" w:pos="2905" w:val="left"/>
        </w:tabs>
        <w:numPr>
          <w:ilvl w:val="1"/>
          <w:numId w:val="42"/>
        </w:numPr>
        <w:rPr>
          <w:rFonts w:ascii="Arial" w:cs="Arial" w:eastAsia="Arial" w:hAnsi="Arial"/>
          <w:sz w:val="21"/>
          <w:szCs w:val="21"/>
          <w:color w:val="auto"/>
        </w:rPr>
      </w:pPr>
      <w:r>
        <w:rPr>
          <w:rFonts w:ascii="Arial" w:cs="Arial" w:eastAsia="Arial" w:hAnsi="Arial"/>
          <w:sz w:val="21"/>
          <w:szCs w:val="21"/>
          <w:color w:val="auto"/>
        </w:rPr>
        <w:t>If the provisions of Section 5.3 or 6.1(C) are applicable to an equity or equity-based award subject to the provisions of Section 409A of the Code and the immediate payment of the award contemplated by such sections would result in taxation under Section 409A, payment of such awards shall be made upon the earliest date upon which such payment may be made without resulting in taxation under Section 409A of the Code.</w:t>
      </w:r>
    </w:p>
    <w:p>
      <w:pPr>
        <w:spacing w:after="0" w:line="216" w:lineRule="exact"/>
        <w:rPr>
          <w:rFonts w:ascii="Arial" w:cs="Arial" w:eastAsia="Arial" w:hAnsi="Arial"/>
          <w:sz w:val="21"/>
          <w:szCs w:val="21"/>
          <w:color w:val="auto"/>
        </w:rPr>
      </w:pPr>
    </w:p>
    <w:p>
      <w:pPr>
        <w:ind w:left="660" w:hanging="652"/>
        <w:spacing w:after="0"/>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Non-Solicitation; Non-Disparagement.</w:t>
      </w:r>
    </w:p>
    <w:p>
      <w:pPr>
        <w:spacing w:after="0" w:line="26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15.1 During the period commencing on the Date of Termination and ending upon the first anniversary of the Date of Termination, the Executive shall not, directly or indirectly: (i) recruit, hire or solicit for employment or engagement, any person who is employed by the Company or any Affiliate, or (ii) solicit (A) any client or customer doing business with the Company or any Affiliate, as of the Date of Termination and with whom or which the Executive had any contact or involvement during the Executive's employment with the Company or (B) any prospective client or customer of the Company or any Affiliate whom or which is a prospective client of the Company or any Affiliate as of the Date of Termination and with whom or which the Executive had any contact or involvement during the Executive's employment with the Company to adversely alter its relationship or cease doing business with the Company or any Affiliate.</w:t>
      </w:r>
    </w:p>
    <w:p>
      <w:pPr>
        <w:sectPr>
          <w:pgSz w:w="11900" w:h="16838" w:orient="portrait"/>
          <w:cols w:equalWidth="0" w:num="1">
            <w:col w:w="11420"/>
          </w:cols>
          <w:pgMar w:left="240" w:top="591" w:right="239" w:bottom="1440" w:gutter="0" w:footer="0" w:header="0"/>
        </w:sectPr>
      </w:pPr>
    </w:p>
    <w:bookmarkStart w:id="104" w:name="page105"/>
    <w:bookmarkEnd w:id="104"/>
    <w:p>
      <w:pPr>
        <w:ind w:firstLine="1297"/>
        <w:spacing w:after="0" w:line="287" w:lineRule="auto"/>
        <w:rPr>
          <w:sz w:val="20"/>
          <w:szCs w:val="20"/>
          <w:color w:val="auto"/>
        </w:rPr>
      </w:pPr>
      <w:r>
        <w:rPr>
          <w:rFonts w:ascii="Arial" w:cs="Arial" w:eastAsia="Arial" w:hAnsi="Arial"/>
          <w:sz w:val="21"/>
          <w:szCs w:val="21"/>
          <w:color w:val="auto"/>
        </w:rPr>
        <w:t>15.2 Following the Date of Termination and thereafter, the Executive shall not, directly or indirectly, make disparaging remarks about the Company or any Affiliate or any of their respective directors, officers or employees.</w:t>
      </w:r>
    </w:p>
    <w:p>
      <w:pPr>
        <w:spacing w:after="0" w:line="192"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following terms shall have the meanings indicated below:</w:t>
      </w:r>
    </w:p>
    <w:p>
      <w:pPr>
        <w:spacing w:after="0" w:line="260"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1800" w:type="dxa"/>
            <w:vAlign w:val="bottom"/>
          </w:tcPr>
          <w:p>
            <w:pPr>
              <w:jc w:val="right"/>
              <w:ind w:right="252"/>
              <w:spacing w:after="0"/>
              <w:rPr>
                <w:sz w:val="20"/>
                <w:szCs w:val="20"/>
                <w:color w:val="auto"/>
              </w:rPr>
            </w:pPr>
            <w:r>
              <w:rPr>
                <w:rFonts w:ascii="Arial" w:cs="Arial" w:eastAsia="Arial" w:hAnsi="Arial"/>
                <w:sz w:val="22"/>
                <w:szCs w:val="22"/>
                <w:color w:val="auto"/>
              </w:rPr>
              <w:t>16.1</w:t>
            </w:r>
          </w:p>
        </w:tc>
        <w:tc>
          <w:tcPr>
            <w:tcW w:w="9380" w:type="dxa"/>
            <w:vAlign w:val="bottom"/>
          </w:tcPr>
          <w:p>
            <w:pPr>
              <w:ind w:left="420"/>
              <w:spacing w:after="0"/>
              <w:rPr>
                <w:sz w:val="20"/>
                <w:szCs w:val="20"/>
                <w:color w:val="auto"/>
              </w:rPr>
            </w:pPr>
            <w:r>
              <w:rPr>
                <w:rFonts w:ascii="Arial" w:cs="Arial" w:eastAsia="Arial" w:hAnsi="Arial"/>
                <w:sz w:val="22"/>
                <w:szCs w:val="22"/>
                <w:color w:val="auto"/>
                <w:w w:val="98"/>
              </w:rPr>
              <w:t>"Affiliate" shall have the meaning set forth in Rule 12b-2 promulgated under Section 12 of the</w:t>
            </w:r>
          </w:p>
        </w:tc>
      </w:tr>
      <w:tr>
        <w:trPr>
          <w:trHeight w:val="275"/>
        </w:trPr>
        <w:tc>
          <w:tcPr>
            <w:tcW w:w="1800" w:type="dxa"/>
            <w:vAlign w:val="bottom"/>
          </w:tcPr>
          <w:p>
            <w:pPr>
              <w:jc w:val="right"/>
              <w:ind w:right="412"/>
              <w:spacing w:after="0"/>
              <w:rPr>
                <w:sz w:val="20"/>
                <w:szCs w:val="20"/>
                <w:color w:val="auto"/>
              </w:rPr>
            </w:pPr>
            <w:r>
              <w:rPr>
                <w:rFonts w:ascii="Arial" w:cs="Arial" w:eastAsia="Arial" w:hAnsi="Arial"/>
                <w:sz w:val="22"/>
                <w:szCs w:val="22"/>
                <w:color w:val="auto"/>
                <w:w w:val="88"/>
              </w:rPr>
              <w:t>Exchange Act.</w:t>
            </w:r>
          </w:p>
        </w:tc>
        <w:tc>
          <w:tcPr>
            <w:tcW w:w="9380" w:type="dxa"/>
            <w:vAlign w:val="bottom"/>
          </w:tcPr>
          <w:p>
            <w:pPr>
              <w:spacing w:after="0"/>
              <w:rPr>
                <w:sz w:val="23"/>
                <w:szCs w:val="23"/>
                <w:color w:val="auto"/>
              </w:rPr>
            </w:pPr>
          </w:p>
        </w:tc>
      </w:tr>
      <w:tr>
        <w:trPr>
          <w:trHeight w:val="513"/>
        </w:trPr>
        <w:tc>
          <w:tcPr>
            <w:tcW w:w="1800" w:type="dxa"/>
            <w:vAlign w:val="bottom"/>
          </w:tcPr>
          <w:p>
            <w:pPr>
              <w:jc w:val="right"/>
              <w:ind w:right="252"/>
              <w:spacing w:after="0"/>
              <w:rPr>
                <w:sz w:val="20"/>
                <w:szCs w:val="20"/>
                <w:color w:val="auto"/>
              </w:rPr>
            </w:pPr>
            <w:r>
              <w:rPr>
                <w:rFonts w:ascii="Arial" w:cs="Arial" w:eastAsia="Arial" w:hAnsi="Arial"/>
                <w:sz w:val="22"/>
                <w:szCs w:val="22"/>
                <w:color w:val="auto"/>
              </w:rPr>
              <w:t>16.2</w:t>
            </w:r>
          </w:p>
        </w:tc>
        <w:tc>
          <w:tcPr>
            <w:tcW w:w="9380" w:type="dxa"/>
            <w:vAlign w:val="bottom"/>
          </w:tcPr>
          <w:p>
            <w:pPr>
              <w:ind w:left="360"/>
              <w:spacing w:after="0"/>
              <w:rPr>
                <w:sz w:val="20"/>
                <w:szCs w:val="20"/>
                <w:color w:val="auto"/>
              </w:rPr>
            </w:pPr>
            <w:r>
              <w:rPr>
                <w:rFonts w:ascii="Arial" w:cs="Arial" w:eastAsia="Arial" w:hAnsi="Arial"/>
                <w:sz w:val="22"/>
                <w:szCs w:val="22"/>
                <w:color w:val="auto"/>
              </w:rPr>
              <w:t>"Auditor" shall have the meaning set forth in Section 6.2.</w:t>
            </w:r>
          </w:p>
        </w:tc>
      </w:tr>
      <w:tr>
        <w:trPr>
          <w:trHeight w:val="513"/>
        </w:trPr>
        <w:tc>
          <w:tcPr>
            <w:tcW w:w="1800" w:type="dxa"/>
            <w:vAlign w:val="bottom"/>
          </w:tcPr>
          <w:p>
            <w:pPr>
              <w:jc w:val="right"/>
              <w:ind w:right="252"/>
              <w:spacing w:after="0"/>
              <w:rPr>
                <w:sz w:val="20"/>
                <w:szCs w:val="20"/>
                <w:color w:val="auto"/>
              </w:rPr>
            </w:pPr>
            <w:r>
              <w:rPr>
                <w:rFonts w:ascii="Arial" w:cs="Arial" w:eastAsia="Arial" w:hAnsi="Arial"/>
                <w:sz w:val="22"/>
                <w:szCs w:val="22"/>
                <w:color w:val="auto"/>
              </w:rPr>
              <w:t>16.3</w:t>
            </w:r>
          </w:p>
        </w:tc>
        <w:tc>
          <w:tcPr>
            <w:tcW w:w="9380" w:type="dxa"/>
            <w:vAlign w:val="bottom"/>
          </w:tcPr>
          <w:p>
            <w:pPr>
              <w:ind w:left="360"/>
              <w:spacing w:after="0"/>
              <w:rPr>
                <w:sz w:val="20"/>
                <w:szCs w:val="20"/>
                <w:color w:val="auto"/>
              </w:rPr>
            </w:pPr>
            <w:r>
              <w:rPr>
                <w:rFonts w:ascii="Arial" w:cs="Arial" w:eastAsia="Arial" w:hAnsi="Arial"/>
                <w:sz w:val="22"/>
                <w:szCs w:val="22"/>
                <w:color w:val="auto"/>
              </w:rPr>
              <w:t>"Base Amount" shall have the meaning set forth in section 280G(b)(3) of the Code.</w:t>
            </w:r>
          </w:p>
        </w:tc>
      </w:tr>
    </w:tbl>
    <w:p>
      <w:pPr>
        <w:spacing w:after="0" w:line="239" w:lineRule="exact"/>
        <w:rPr>
          <w:sz w:val="20"/>
          <w:szCs w:val="20"/>
          <w:color w:val="auto"/>
        </w:rPr>
      </w:pPr>
    </w:p>
    <w:p>
      <w:pPr>
        <w:jc w:val="both"/>
        <w:ind w:left="220" w:firstLine="1053"/>
        <w:spacing w:after="0" w:line="253" w:lineRule="auto"/>
        <w:rPr>
          <w:sz w:val="20"/>
          <w:szCs w:val="20"/>
          <w:color w:val="auto"/>
        </w:rPr>
      </w:pPr>
      <w:r>
        <w:rPr>
          <w:rFonts w:ascii="Arial" w:cs="Arial" w:eastAsia="Arial" w:hAnsi="Arial"/>
          <w:sz w:val="22"/>
          <w:szCs w:val="22"/>
          <w:color w:val="auto"/>
        </w:rPr>
        <w:t>16.4 "Base Salary" shall mean the annual base salary in effect for the Executive immediately prior to a Change in Control, as such salary may be increased from time to time during the Term (in which case such increased amount shall be the Base Salary for purposes hereof), but without giving effect to any reduction thereto.</w:t>
      </w:r>
    </w:p>
    <w:p>
      <w:pPr>
        <w:spacing w:after="0" w:line="226" w:lineRule="exact"/>
        <w:rPr>
          <w:sz w:val="20"/>
          <w:szCs w:val="20"/>
          <w:color w:val="auto"/>
        </w:rPr>
      </w:pPr>
    </w:p>
    <w:tbl>
      <w:tblPr>
        <w:tblLayout w:type="fixed"/>
        <w:tblInd w:w="1280" w:type="dxa"/>
        <w:tblCellMar>
          <w:top w:w="0" w:type="dxa"/>
          <w:left w:w="0" w:type="dxa"/>
          <w:bottom w:w="0" w:type="dxa"/>
          <w:right w:w="0" w:type="dxa"/>
        </w:tblCellMar>
      </w:tblPr>
      <w:tr>
        <w:trPr>
          <w:trHeight w:val="275"/>
        </w:trPr>
        <w:tc>
          <w:tcPr>
            <w:tcW w:w="740" w:type="dxa"/>
            <w:vAlign w:val="bottom"/>
          </w:tcPr>
          <w:p>
            <w:pPr>
              <w:jc w:val="right"/>
              <w:ind w:right="252"/>
              <w:spacing w:after="0"/>
              <w:rPr>
                <w:sz w:val="20"/>
                <w:szCs w:val="20"/>
                <w:color w:val="auto"/>
              </w:rPr>
            </w:pPr>
            <w:r>
              <w:rPr>
                <w:rFonts w:ascii="Arial" w:cs="Arial" w:eastAsia="Arial" w:hAnsi="Arial"/>
                <w:sz w:val="22"/>
                <w:szCs w:val="22"/>
                <w:color w:val="auto"/>
                <w:w w:val="83"/>
              </w:rPr>
              <w:t>16.5</w:t>
            </w:r>
          </w:p>
        </w:tc>
        <w:tc>
          <w:tcPr>
            <w:tcW w:w="8320" w:type="dxa"/>
            <w:vAlign w:val="bottom"/>
          </w:tcPr>
          <w:p>
            <w:pPr>
              <w:ind w:left="360"/>
              <w:spacing w:after="0" w:line="253" w:lineRule="exact"/>
              <w:rPr>
                <w:sz w:val="20"/>
                <w:szCs w:val="20"/>
                <w:color w:val="auto"/>
              </w:rPr>
            </w:pPr>
            <w:r>
              <w:rPr>
                <w:rFonts w:ascii="Arial" w:cs="Arial" w:eastAsia="Arial" w:hAnsi="Arial"/>
                <w:sz w:val="22"/>
                <w:szCs w:val="22"/>
                <w:color w:val="auto"/>
                <w:w w:val="89"/>
              </w:rPr>
              <w:t>"Beneficial Owner" shall have the meaning set forth in Rule 13d</w:t>
            </w:r>
            <w:r>
              <w:rPr>
                <w:rFonts w:ascii="MS PGothic" w:cs="MS PGothic" w:eastAsia="MS PGothic" w:hAnsi="MS PGothic"/>
                <w:sz w:val="22"/>
                <w:szCs w:val="22"/>
                <w:color w:val="auto"/>
                <w:w w:val="89"/>
              </w:rPr>
              <w:t>‑</w:t>
            </w:r>
            <w:r>
              <w:rPr>
                <w:rFonts w:ascii="Arial" w:cs="Arial" w:eastAsia="Arial" w:hAnsi="Arial"/>
                <w:sz w:val="22"/>
                <w:szCs w:val="22"/>
                <w:color w:val="auto"/>
                <w:w w:val="89"/>
              </w:rPr>
              <w:t>3 under the Exchange Act.</w:t>
            </w:r>
          </w:p>
        </w:tc>
      </w:tr>
      <w:tr>
        <w:trPr>
          <w:trHeight w:val="513"/>
        </w:trPr>
        <w:tc>
          <w:tcPr>
            <w:tcW w:w="740" w:type="dxa"/>
            <w:vAlign w:val="bottom"/>
          </w:tcPr>
          <w:p>
            <w:pPr>
              <w:jc w:val="right"/>
              <w:ind w:right="252"/>
              <w:spacing w:after="0"/>
              <w:rPr>
                <w:sz w:val="20"/>
                <w:szCs w:val="20"/>
                <w:color w:val="auto"/>
              </w:rPr>
            </w:pPr>
            <w:r>
              <w:rPr>
                <w:rFonts w:ascii="Arial" w:cs="Arial" w:eastAsia="Arial" w:hAnsi="Arial"/>
                <w:sz w:val="22"/>
                <w:szCs w:val="22"/>
                <w:color w:val="auto"/>
                <w:w w:val="83"/>
              </w:rPr>
              <w:t>16.6</w:t>
            </w:r>
          </w:p>
        </w:tc>
        <w:tc>
          <w:tcPr>
            <w:tcW w:w="8320" w:type="dxa"/>
            <w:vAlign w:val="bottom"/>
          </w:tcPr>
          <w:p>
            <w:pPr>
              <w:ind w:left="360"/>
              <w:spacing w:after="0"/>
              <w:rPr>
                <w:sz w:val="20"/>
                <w:szCs w:val="20"/>
                <w:color w:val="auto"/>
              </w:rPr>
            </w:pPr>
            <w:r>
              <w:rPr>
                <w:rFonts w:ascii="Arial" w:cs="Arial" w:eastAsia="Arial" w:hAnsi="Arial"/>
                <w:sz w:val="22"/>
                <w:szCs w:val="22"/>
                <w:color w:val="auto"/>
              </w:rPr>
              <w:t>"Board" shall mean the Board of Directors of the Company.</w:t>
            </w:r>
          </w:p>
        </w:tc>
      </w:tr>
    </w:tbl>
    <w:p>
      <w:pPr>
        <w:spacing w:after="0" w:line="239" w:lineRule="exact"/>
        <w:rPr>
          <w:sz w:val="20"/>
          <w:szCs w:val="20"/>
          <w:color w:val="auto"/>
        </w:rPr>
      </w:pPr>
    </w:p>
    <w:p>
      <w:pPr>
        <w:jc w:val="both"/>
        <w:ind w:left="220" w:firstLine="1053"/>
        <w:spacing w:after="0" w:line="288" w:lineRule="auto"/>
        <w:rPr>
          <w:sz w:val="20"/>
          <w:szCs w:val="20"/>
          <w:color w:val="auto"/>
        </w:rPr>
      </w:pPr>
      <w:r>
        <w:rPr>
          <w:rFonts w:ascii="Arial" w:cs="Arial" w:eastAsia="Arial" w:hAnsi="Arial"/>
          <w:sz w:val="19"/>
          <w:szCs w:val="19"/>
          <w:color w:val="auto"/>
        </w:rPr>
        <w:t>16.7 "Cause" for termination by the Company of the Executive's employment shall mean (i) the willful and continued failure by the Executive (other than any such failure resulting from (A) the Executive's incapacity due to physical or mental illness, (B) any such actual or anticipated failure after the issuance of a Notice of Termination by the Executive for Good Reason or (C) the Company's active or passive obstruction of the performance of the Executive's duties and responsibilities) to perform substantially the duties and responsibilities of the Executive's position with the Company after a written demand for substantial performance is delivered to the Executive by the Board, which demand specifically identifies the manner in which the Board believes that the Executive has not substantially performed such duties or responsibilities; (ii) the conviction of the Executive by a court of competent jurisdiction for felony criminal conduct; or (iii) the willful engaging by the Executive in fraud or dishonesty which is demonstrably and materially injurious to the Company or its reputation, monetarily or otherwise. No act, or failure to act, on the Executive's part shall be deemed "willful" unless committed, or omitted by the Executive in bad faith and without reasonable belief that the Executive's act or failure to act was in, or not opposed to, the best interest of the Company.</w:t>
      </w:r>
    </w:p>
    <w:p>
      <w:pPr>
        <w:spacing w:after="0" w:line="195" w:lineRule="exact"/>
        <w:rPr>
          <w:sz w:val="20"/>
          <w:szCs w:val="20"/>
          <w:color w:val="auto"/>
        </w:rPr>
      </w:pPr>
    </w:p>
    <w:p>
      <w:pPr>
        <w:jc w:val="both"/>
        <w:ind w:left="220" w:firstLine="1053"/>
        <w:spacing w:after="0" w:line="263" w:lineRule="auto"/>
        <w:rPr>
          <w:sz w:val="20"/>
          <w:szCs w:val="20"/>
          <w:color w:val="auto"/>
        </w:rPr>
      </w:pPr>
      <w:r>
        <w:rPr>
          <w:rFonts w:ascii="Arial" w:cs="Arial" w:eastAsia="Arial" w:hAnsi="Arial"/>
          <w:sz w:val="22"/>
          <w:szCs w:val="22"/>
          <w:color w:val="auto"/>
        </w:rPr>
        <w:t>16.8 A "Change in Control" shall be deemed to have occurred if any of the events set forth in any one of the following paragraphs shall have occurred:</w:t>
      </w:r>
    </w:p>
    <w:p>
      <w:pPr>
        <w:spacing w:after="0" w:line="215" w:lineRule="exact"/>
        <w:rPr>
          <w:sz w:val="20"/>
          <w:szCs w:val="20"/>
          <w:color w:val="auto"/>
        </w:rPr>
      </w:pPr>
    </w:p>
    <w:p>
      <w:pPr>
        <w:ind w:left="2900" w:hanging="947"/>
        <w:spacing w:after="0"/>
        <w:tabs>
          <w:tab w:leader="none" w:pos="29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Person is or becomes the Beneficial Owner, directly or indirectly,</w:t>
      </w:r>
    </w:p>
    <w:p>
      <w:pPr>
        <w:sectPr>
          <w:pgSz w:w="11900" w:h="16838" w:orient="portrait"/>
          <w:cols w:equalWidth="0" w:num="1">
            <w:col w:w="11420"/>
          </w:cols>
          <w:pgMar w:left="240" w:top="591" w:right="239" w:bottom="1440" w:gutter="0" w:footer="0" w:header="0"/>
        </w:sectPr>
      </w:pPr>
    </w:p>
    <w:bookmarkStart w:id="105" w:name="page106"/>
    <w:bookmarkEnd w:id="105"/>
    <w:p>
      <w:pPr>
        <w:jc w:val="both"/>
        <w:ind w:left="440"/>
        <w:spacing w:after="0" w:line="271" w:lineRule="auto"/>
        <w:rPr>
          <w:sz w:val="20"/>
          <w:szCs w:val="20"/>
          <w:color w:val="auto"/>
        </w:rPr>
      </w:pPr>
      <w:r>
        <w:rPr>
          <w:rFonts w:ascii="Arial" w:cs="Arial" w:eastAsia="Arial" w:hAnsi="Arial"/>
          <w:sz w:val="21"/>
          <w:szCs w:val="21"/>
          <w:color w:val="auto"/>
        </w:rPr>
        <w:t>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16.8(C)(i);</w:t>
      </w:r>
    </w:p>
    <w:p>
      <w:pPr>
        <w:spacing w:after="0" w:line="208" w:lineRule="exact"/>
        <w:rPr>
          <w:sz w:val="20"/>
          <w:szCs w:val="20"/>
          <w:color w:val="auto"/>
        </w:rPr>
      </w:pPr>
    </w:p>
    <w:p>
      <w:pPr>
        <w:jc w:val="both"/>
        <w:ind w:left="440" w:firstLine="1293"/>
        <w:spacing w:after="0" w:line="289" w:lineRule="auto"/>
        <w:tabs>
          <w:tab w:leader="none" w:pos="2673"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98" w:lineRule="exact"/>
        <w:rPr>
          <w:rFonts w:ascii="Arial" w:cs="Arial" w:eastAsia="Arial" w:hAnsi="Arial"/>
          <w:sz w:val="19"/>
          <w:szCs w:val="19"/>
          <w:color w:val="auto"/>
        </w:rPr>
      </w:pPr>
    </w:p>
    <w:p>
      <w:pPr>
        <w:jc w:val="both"/>
        <w:ind w:left="440" w:firstLine="1293"/>
        <w:spacing w:after="0" w:line="259" w:lineRule="auto"/>
        <w:tabs>
          <w:tab w:leader="none" w:pos="2673"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w:t>
      </w:r>
    </w:p>
    <w:p>
      <w:pPr>
        <w:spacing w:after="0" w:line="224" w:lineRule="exact"/>
        <w:rPr>
          <w:rFonts w:ascii="Arial" w:cs="Arial" w:eastAsia="Arial" w:hAnsi="Arial"/>
          <w:sz w:val="21"/>
          <w:szCs w:val="21"/>
          <w:color w:val="auto"/>
        </w:rPr>
      </w:pPr>
    </w:p>
    <w:p>
      <w:pPr>
        <w:jc w:val="both"/>
        <w:ind w:left="440" w:firstLine="1293"/>
        <w:spacing w:after="0" w:line="297" w:lineRule="auto"/>
        <w:tabs>
          <w:tab w:leader="none" w:pos="2685"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188" w:lineRule="exact"/>
        <w:rPr>
          <w:sz w:val="20"/>
          <w:szCs w:val="20"/>
          <w:color w:val="auto"/>
        </w:rPr>
      </w:pPr>
    </w:p>
    <w:p>
      <w:pPr>
        <w:ind w:left="1060"/>
        <w:spacing w:after="0"/>
        <w:tabs>
          <w:tab w:leader="none" w:pos="214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19"/>
          <w:szCs w:val="19"/>
          <w:color w:val="auto"/>
        </w:rPr>
        <w:t>"Code" shall mean the Internal Revenue Code of 1986, as amended from time to time.</w:t>
      </w:r>
    </w:p>
    <w:p>
      <w:pPr>
        <w:spacing w:after="0" w:line="260" w:lineRule="exact"/>
        <w:rPr>
          <w:sz w:val="20"/>
          <w:szCs w:val="20"/>
          <w:color w:val="auto"/>
        </w:rPr>
      </w:pPr>
    </w:p>
    <w:p>
      <w:pPr>
        <w:jc w:val="both"/>
        <w:ind w:firstLine="1053"/>
        <w:spacing w:after="0" w:line="253" w:lineRule="auto"/>
        <w:rPr>
          <w:sz w:val="20"/>
          <w:szCs w:val="20"/>
          <w:color w:val="auto"/>
        </w:rPr>
      </w:pPr>
      <w:r>
        <w:rPr>
          <w:rFonts w:ascii="Arial" w:cs="Arial" w:eastAsia="Arial" w:hAnsi="Arial"/>
          <w:sz w:val="22"/>
          <w:szCs w:val="22"/>
          <w:color w:val="auto"/>
        </w:rPr>
        <w:t>16.10 "Company" shall mean Itron, Inc. and, except in determining under Section 16.8 whether or not any Change in Control of the Company has occurred, shall include any successor to its business and/or assets which assumes and agrees to perform this Agreement by operation of law, or otherwise.</w:t>
      </w:r>
    </w:p>
    <w:p>
      <w:pPr>
        <w:sectPr>
          <w:pgSz w:w="11900" w:h="16838" w:orient="portrait"/>
          <w:cols w:equalWidth="0" w:num="1">
            <w:col w:w="11200"/>
          </w:cols>
          <w:pgMar w:left="460" w:top="591" w:right="239" w:bottom="1440" w:gutter="0" w:footer="0" w:header="0"/>
        </w:sectPr>
      </w:pPr>
    </w:p>
    <w:bookmarkStart w:id="106" w:name="page107"/>
    <w:bookmarkEnd w:id="106"/>
    <w:p>
      <w:pPr>
        <w:ind w:left="1060"/>
        <w:spacing w:after="0"/>
        <w:tabs>
          <w:tab w:leader="none" w:pos="2240" w:val="left"/>
        </w:tabs>
        <w:rPr>
          <w:sz w:val="20"/>
          <w:szCs w:val="20"/>
          <w:color w:val="auto"/>
        </w:rPr>
      </w:pPr>
      <w:r>
        <w:rPr>
          <w:rFonts w:ascii="Arial" w:cs="Arial" w:eastAsia="Arial" w:hAnsi="Arial"/>
          <w:sz w:val="22"/>
          <w:szCs w:val="22"/>
          <w:color w:val="auto"/>
        </w:rPr>
        <w:t>16.11</w:t>
      </w:r>
      <w:r>
        <w:rPr>
          <w:sz w:val="20"/>
          <w:szCs w:val="20"/>
          <w:color w:val="auto"/>
        </w:rPr>
        <w:tab/>
      </w:r>
      <w:r>
        <w:rPr>
          <w:rFonts w:ascii="Arial" w:cs="Arial" w:eastAsia="Arial" w:hAnsi="Arial"/>
          <w:sz w:val="19"/>
          <w:szCs w:val="19"/>
          <w:color w:val="auto"/>
        </w:rPr>
        <w:t>"Date of Termination" shall have the meaning set forth in Section 7.2.</w:t>
      </w:r>
    </w:p>
    <w:p>
      <w:pPr>
        <w:spacing w:after="0" w:line="260" w:lineRule="exact"/>
        <w:rPr>
          <w:sz w:val="20"/>
          <w:szCs w:val="20"/>
          <w:color w:val="auto"/>
        </w:rPr>
      </w:pPr>
    </w:p>
    <w:p>
      <w:pPr>
        <w:jc w:val="both"/>
        <w:ind w:firstLine="1053"/>
        <w:spacing w:after="0" w:line="258" w:lineRule="exact"/>
        <w:rPr>
          <w:sz w:val="20"/>
          <w:szCs w:val="20"/>
          <w:color w:val="auto"/>
        </w:rPr>
      </w:pPr>
      <w:r>
        <w:rPr>
          <w:rFonts w:ascii="Arial" w:cs="Arial" w:eastAsia="Arial" w:hAnsi="Arial"/>
          <w:sz w:val="21"/>
          <w:szCs w:val="21"/>
          <w:color w:val="auto"/>
        </w:rPr>
        <w:t>16.12 "Disability" shall be deemed the reason for the termination by the Company of the Executive's employment, if, as a result of the Executive's incapacity due to physical or mental illness, the Executive shall have been absent from the full</w:t>
      </w:r>
      <w:r>
        <w:rPr>
          <w:rFonts w:ascii="MS PGothic" w:cs="MS PGothic" w:eastAsia="MS PGothic" w:hAnsi="MS PGothic"/>
          <w:sz w:val="21"/>
          <w:szCs w:val="21"/>
          <w:color w:val="auto"/>
        </w:rPr>
        <w:t>‑</w:t>
      </w:r>
      <w:r>
        <w:rPr>
          <w:rFonts w:ascii="Arial" w:cs="Arial" w:eastAsia="Arial" w:hAnsi="Arial"/>
          <w:sz w:val="21"/>
          <w:szCs w:val="21"/>
          <w:color w:val="auto"/>
        </w:rPr>
        <w:t>time performance of the Executive's duties with the Company for a period of at least one hundred twenty (120) days, the Company shall have given the Executive a Notice of Termination for Disability, and, within thirty (30) days after such Notice of Termination is given, the Executive shall not have returned to the full</w:t>
      </w:r>
      <w:r>
        <w:rPr>
          <w:rFonts w:ascii="MS PGothic" w:cs="MS PGothic" w:eastAsia="MS PGothic" w:hAnsi="MS PGothic"/>
          <w:sz w:val="21"/>
          <w:szCs w:val="21"/>
          <w:color w:val="auto"/>
        </w:rPr>
        <w:t>‑</w:t>
      </w:r>
      <w:r>
        <w:rPr>
          <w:rFonts w:ascii="Arial" w:cs="Arial" w:eastAsia="Arial" w:hAnsi="Arial"/>
          <w:sz w:val="21"/>
          <w:szCs w:val="21"/>
          <w:color w:val="auto"/>
        </w:rPr>
        <w:t>time performance of the Executive's duties. Any question as to the existence of the Executive's Disability upon which the Executive and the Company cannot agree shall be determined by a qualified independent physician selected by the Executive (or, if the Executive is unable to make such selection, it shall be made by any adult member of the Executive's immediate family), and approved by the Company. The determination of such physician made in writing to the Company and to the Executive shall be final and conclusive for all purposes of this Agreement, absent fraud.</w:t>
      </w:r>
    </w:p>
    <w:p>
      <w:pPr>
        <w:spacing w:after="0" w:line="247" w:lineRule="exact"/>
        <w:rPr>
          <w:sz w:val="20"/>
          <w:szCs w:val="20"/>
          <w:color w:val="auto"/>
        </w:rPr>
      </w:pPr>
    </w:p>
    <w:p>
      <w:pPr>
        <w:ind w:left="1060"/>
        <w:spacing w:after="0"/>
        <w:tabs>
          <w:tab w:leader="none" w:pos="2200" w:val="left"/>
        </w:tabs>
        <w:rPr>
          <w:sz w:val="20"/>
          <w:szCs w:val="20"/>
          <w:color w:val="auto"/>
        </w:rPr>
      </w:pPr>
      <w:r>
        <w:rPr>
          <w:rFonts w:ascii="Arial" w:cs="Arial" w:eastAsia="Arial" w:hAnsi="Arial"/>
          <w:sz w:val="22"/>
          <w:szCs w:val="22"/>
          <w:color w:val="auto"/>
        </w:rPr>
        <w:t>16.13</w:t>
      </w:r>
      <w:r>
        <w:rPr>
          <w:sz w:val="20"/>
          <w:szCs w:val="20"/>
          <w:color w:val="auto"/>
        </w:rPr>
        <w:tab/>
      </w:r>
      <w:r>
        <w:rPr>
          <w:rFonts w:ascii="Arial" w:cs="Arial" w:eastAsia="Arial" w:hAnsi="Arial"/>
          <w:sz w:val="19"/>
          <w:szCs w:val="19"/>
          <w:color w:val="auto"/>
        </w:rPr>
        <w:t>"Exchange Act" shall mean the Securities Exchange Act of 1934, as amended from time to time.</w:t>
      </w:r>
    </w:p>
    <w:p>
      <w:pPr>
        <w:spacing w:after="0" w:line="260" w:lineRule="exact"/>
        <w:rPr>
          <w:sz w:val="20"/>
          <w:szCs w:val="20"/>
          <w:color w:val="auto"/>
        </w:rPr>
      </w:pPr>
    </w:p>
    <w:p>
      <w:pPr>
        <w:ind w:left="1060"/>
        <w:spacing w:after="0"/>
        <w:tabs>
          <w:tab w:leader="none" w:pos="2200" w:val="left"/>
        </w:tabs>
        <w:rPr>
          <w:sz w:val="20"/>
          <w:szCs w:val="20"/>
          <w:color w:val="auto"/>
        </w:rPr>
      </w:pPr>
      <w:r>
        <w:rPr>
          <w:rFonts w:ascii="Arial" w:cs="Arial" w:eastAsia="Arial" w:hAnsi="Arial"/>
          <w:sz w:val="22"/>
          <w:szCs w:val="22"/>
          <w:color w:val="auto"/>
        </w:rPr>
        <w:t>16.14</w:t>
      </w:r>
      <w:r>
        <w:rPr>
          <w:sz w:val="20"/>
          <w:szCs w:val="20"/>
          <w:color w:val="auto"/>
        </w:rPr>
        <w:tab/>
      </w:r>
      <w:r>
        <w:rPr>
          <w:rFonts w:ascii="Arial" w:cs="Arial" w:eastAsia="Arial" w:hAnsi="Arial"/>
          <w:sz w:val="19"/>
          <w:szCs w:val="19"/>
          <w:color w:val="auto"/>
        </w:rPr>
        <w:t>"Excise Tax" shall mean any excise tax imposed under section 4999 of the Code.</w:t>
      </w:r>
    </w:p>
    <w:p>
      <w:pPr>
        <w:spacing w:after="0" w:line="260" w:lineRule="exact"/>
        <w:rPr>
          <w:sz w:val="20"/>
          <w:szCs w:val="20"/>
          <w:color w:val="auto"/>
        </w:rPr>
      </w:pPr>
    </w:p>
    <w:p>
      <w:pPr>
        <w:ind w:left="1060"/>
        <w:spacing w:after="0"/>
        <w:tabs>
          <w:tab w:leader="none" w:pos="2200" w:val="left"/>
        </w:tabs>
        <w:rPr>
          <w:sz w:val="20"/>
          <w:szCs w:val="20"/>
          <w:color w:val="auto"/>
        </w:rPr>
      </w:pPr>
      <w:r>
        <w:rPr>
          <w:rFonts w:ascii="Arial" w:cs="Arial" w:eastAsia="Arial" w:hAnsi="Arial"/>
          <w:sz w:val="22"/>
          <w:szCs w:val="22"/>
          <w:color w:val="auto"/>
        </w:rPr>
        <w:t>16.15</w:t>
      </w:r>
      <w:r>
        <w:rPr>
          <w:sz w:val="20"/>
          <w:szCs w:val="20"/>
          <w:color w:val="auto"/>
        </w:rPr>
        <w:tab/>
      </w:r>
      <w:r>
        <w:rPr>
          <w:rFonts w:ascii="Arial" w:cs="Arial" w:eastAsia="Arial" w:hAnsi="Arial"/>
          <w:sz w:val="19"/>
          <w:szCs w:val="19"/>
          <w:color w:val="auto"/>
        </w:rPr>
        <w:t>"Executive" shall mean the individual named in the first paragraph of this Agreement.</w:t>
      </w:r>
    </w:p>
    <w:p>
      <w:pPr>
        <w:spacing w:after="0" w:line="260"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2"/>
          <w:szCs w:val="22"/>
          <w:color w:val="auto"/>
        </w:rPr>
        <w:t>16.16 "Good Reason" for termination by the Executive of the Executive's employment shall mean the occurrence (without the Executive's express written consent) after any Change in Control, or prior to a Change in Control under the circumstances described in the second sentence of Section 6.1 (treating all references in subsections (A) through (F) below to a "Change in Control" as references to a "Potential Change in Control"), of any one of the following acts by the Company, or failures by the Company to act, unless, in the case of any act or failure to act described in subsection (A), (B), (C), (D), (E) or (F) below, such act or failure to act is corrected prior to the Date of Termination specified in the Notice of Termination given in respect thereof:</w:t>
      </w:r>
    </w:p>
    <w:p>
      <w:pPr>
        <w:spacing w:after="0" w:line="238" w:lineRule="exact"/>
        <w:rPr>
          <w:sz w:val="20"/>
          <w:szCs w:val="20"/>
          <w:color w:val="auto"/>
        </w:rPr>
      </w:pPr>
    </w:p>
    <w:p>
      <w:pPr>
        <w:jc w:val="both"/>
        <w:ind w:left="440" w:firstLine="1293"/>
        <w:spacing w:after="0" w:line="294" w:lineRule="auto"/>
        <w:tabs>
          <w:tab w:leader="none" w:pos="2685"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 adverse change in the Executive's status or position(s) as an officer of the Company as in effect immediately prior to the Change in Control, including, without limitation, any adverse change in the Executive's status or position as a result of a diminution of the Executive's duties or responsibilities (other than, if applicable, any such change directly and solely attributable to the fact that the Company is no longer publicly owned) or the assignment to the Executive of any duties or responsibilities which are inconsistent with such status or position(s), or any removal of the Executive from, or any failure to reappoint or reelect the Executive to, such position(s);</w:t>
      </w:r>
    </w:p>
    <w:p>
      <w:pPr>
        <w:sectPr>
          <w:pgSz w:w="11900" w:h="16838" w:orient="portrait"/>
          <w:cols w:equalWidth="0" w:num="1">
            <w:col w:w="11200"/>
          </w:cols>
          <w:pgMar w:left="460" w:top="591" w:right="239" w:bottom="1440" w:gutter="0" w:footer="0" w:header="0"/>
        </w:sectPr>
      </w:pPr>
    </w:p>
    <w:bookmarkStart w:id="107" w:name="page108"/>
    <w:bookmarkEnd w:id="107"/>
    <w:p>
      <w:pPr>
        <w:ind w:left="2880" w:hanging="927"/>
        <w:spacing w:after="0"/>
        <w:tabs>
          <w:tab w:leader="none" w:pos="28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reduction in the Executive's Base Salary;</w:t>
      </w:r>
    </w:p>
    <w:p>
      <w:pPr>
        <w:spacing w:after="0" w:line="260" w:lineRule="exact"/>
        <w:rPr>
          <w:rFonts w:ascii="Arial" w:cs="Arial" w:eastAsia="Arial" w:hAnsi="Arial"/>
          <w:sz w:val="22"/>
          <w:szCs w:val="22"/>
          <w:color w:val="auto"/>
        </w:rPr>
      </w:pPr>
    </w:p>
    <w:p>
      <w:pPr>
        <w:ind w:left="660" w:right="20" w:firstLine="1293"/>
        <w:spacing w:after="0" w:line="263" w:lineRule="auto"/>
        <w:tabs>
          <w:tab w:leader="none" w:pos="2893"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reduction in the Executive's annual bonus opportunity or long term incentive opportunity, as compared to the year immediately preceding the year in which the Change in Control occurs;</w:t>
      </w:r>
    </w:p>
    <w:p>
      <w:pPr>
        <w:spacing w:after="0" w:line="215" w:lineRule="exact"/>
        <w:rPr>
          <w:rFonts w:ascii="Arial" w:cs="Arial" w:eastAsia="Arial" w:hAnsi="Arial"/>
          <w:sz w:val="22"/>
          <w:szCs w:val="22"/>
          <w:color w:val="auto"/>
        </w:rPr>
      </w:pPr>
    </w:p>
    <w:p>
      <w:pPr>
        <w:ind w:left="660" w:firstLine="1293"/>
        <w:spacing w:after="0" w:line="287" w:lineRule="auto"/>
        <w:tabs>
          <w:tab w:leader="none" w:pos="2905"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failure to continue provide welfare, pension and fringe benefits which are in each case, in the aggregate, substantially similar to those provided to the Executive immediately prior to Change in Control;</w:t>
      </w:r>
    </w:p>
    <w:p>
      <w:pPr>
        <w:spacing w:after="0" w:line="192" w:lineRule="exact"/>
        <w:rPr>
          <w:rFonts w:ascii="Arial" w:cs="Arial" w:eastAsia="Arial" w:hAnsi="Arial"/>
          <w:sz w:val="21"/>
          <w:szCs w:val="21"/>
          <w:color w:val="auto"/>
        </w:rPr>
      </w:pPr>
    </w:p>
    <w:p>
      <w:pPr>
        <w:jc w:val="both"/>
        <w:ind w:left="660" w:firstLine="1293"/>
        <w:spacing w:after="0" w:line="250" w:lineRule="auto"/>
        <w:tabs>
          <w:tab w:leader="none" w:pos="2881"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requiring the Executive to be based at an office that is greater than 50 miles from where the Executive's office is located immediately prior to the Change in Control except for required travel on the Company's business to an extent substantially consistent with the business travel obligations which the Executive undertook on behalf of the Company prior to the Change in Control; or</w:t>
      </w:r>
    </w:p>
    <w:p>
      <w:pPr>
        <w:spacing w:after="0" w:line="228" w:lineRule="exact"/>
        <w:rPr>
          <w:rFonts w:ascii="Arial" w:cs="Arial" w:eastAsia="Arial" w:hAnsi="Arial"/>
          <w:sz w:val="22"/>
          <w:szCs w:val="22"/>
          <w:color w:val="auto"/>
        </w:rPr>
      </w:pPr>
    </w:p>
    <w:p>
      <w:pPr>
        <w:jc w:val="both"/>
        <w:ind w:left="660" w:firstLine="1293"/>
        <w:spacing w:after="0" w:line="250" w:lineRule="auto"/>
        <w:tabs>
          <w:tab w:leader="none" w:pos="2869"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failure by the Company to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w:t>
      </w:r>
    </w:p>
    <w:p>
      <w:pPr>
        <w:spacing w:after="0" w:line="22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Notwithstanding the foregoing, the events described in clauses (B), (C) or (D) above shall not constitute Good Reason hereunder to the extent they are as a result of across the board reductions of the applicable compensation element following the Change in Control which are equally applicable to all similarly situated employees of the surviving corporation and its Affiliates. The Executive's right to terminate the Executive's employment for Good Reason shall not be affected by the Executive's incapacity due to physical or mental illness. In order for Good Reason to exist hereunder, the Executive must provide notice to the Company of the existence of the condition or circumstance described above within 90 days of the initial existence of the condition or circumstance (or, if later, within 90 days of the Executive's becoming aware of such condition or circumstance), and the Company must have failed to cure such condition within 30 days of the receipt of such notice. Subject to the preceding sentence, the Executive's continued employment shall not constitute consent to, or a waiver of rights with respect to, any act or failure to act constituting Good Reason hereunder.</w:t>
      </w:r>
    </w:p>
    <w:p>
      <w:pPr>
        <w:spacing w:after="0" w:line="186" w:lineRule="exact"/>
        <w:rPr>
          <w:sz w:val="20"/>
          <w:szCs w:val="20"/>
          <w:color w:val="auto"/>
        </w:rPr>
      </w:pPr>
    </w:p>
    <w:p>
      <w:pPr>
        <w:ind w:left="1280"/>
        <w:spacing w:after="0" w:line="253" w:lineRule="exact"/>
        <w:tabs>
          <w:tab w:leader="none" w:pos="2420" w:val="left"/>
        </w:tabs>
        <w:rPr>
          <w:sz w:val="20"/>
          <w:szCs w:val="20"/>
          <w:color w:val="auto"/>
        </w:rPr>
      </w:pPr>
      <w:r>
        <w:rPr>
          <w:rFonts w:ascii="Arial" w:cs="Arial" w:eastAsia="Arial" w:hAnsi="Arial"/>
          <w:sz w:val="22"/>
          <w:szCs w:val="22"/>
          <w:color w:val="auto"/>
        </w:rPr>
        <w:t>16.17</w:t>
      </w:r>
      <w:r>
        <w:rPr>
          <w:sz w:val="20"/>
          <w:szCs w:val="20"/>
          <w:color w:val="auto"/>
        </w:rPr>
        <w:tab/>
      </w:r>
      <w:r>
        <w:rPr>
          <w:rFonts w:ascii="Arial" w:cs="Arial" w:eastAsia="Arial" w:hAnsi="Arial"/>
          <w:sz w:val="19"/>
          <w:szCs w:val="19"/>
          <w:color w:val="auto"/>
        </w:rPr>
        <w:t>"Gross</w:t>
      </w:r>
      <w:r>
        <w:rPr>
          <w:rFonts w:ascii="MS PGothic" w:cs="MS PGothic" w:eastAsia="MS PGothic" w:hAnsi="MS PGothic"/>
          <w:sz w:val="19"/>
          <w:szCs w:val="19"/>
          <w:color w:val="auto"/>
        </w:rPr>
        <w:t>‑</w:t>
      </w:r>
      <w:r>
        <w:rPr>
          <w:rFonts w:ascii="Arial" w:cs="Arial" w:eastAsia="Arial" w:hAnsi="Arial"/>
          <w:sz w:val="19"/>
          <w:szCs w:val="19"/>
          <w:color w:val="auto"/>
        </w:rPr>
        <w:t>Up Payment" shall have the meaning set forth in Section 6.2.</w:t>
      </w:r>
    </w:p>
    <w:p>
      <w:pPr>
        <w:spacing w:after="0" w:line="260"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2"/>
          <w:szCs w:val="22"/>
          <w:color w:val="auto"/>
        </w:rPr>
        <w:t>16.18</w:t>
      </w:r>
      <w:r>
        <w:rPr>
          <w:sz w:val="20"/>
          <w:szCs w:val="20"/>
          <w:color w:val="auto"/>
        </w:rPr>
        <w:tab/>
      </w:r>
      <w:r>
        <w:rPr>
          <w:rFonts w:ascii="Arial" w:cs="Arial" w:eastAsia="Arial" w:hAnsi="Arial"/>
          <w:sz w:val="19"/>
          <w:szCs w:val="19"/>
          <w:color w:val="auto"/>
        </w:rPr>
        <w:t>"Notice of Termination" shall have the meaning set forth in Section 7.1</w:t>
      </w:r>
    </w:p>
    <w:p>
      <w:pPr>
        <w:spacing w:after="0" w:line="260" w:lineRule="exact"/>
        <w:rPr>
          <w:sz w:val="20"/>
          <w:szCs w:val="20"/>
          <w:color w:val="auto"/>
        </w:rPr>
      </w:pPr>
    </w:p>
    <w:p>
      <w:pPr>
        <w:jc w:val="both"/>
        <w:ind w:left="220" w:firstLine="1053"/>
        <w:spacing w:after="0" w:line="263" w:lineRule="auto"/>
        <w:rPr>
          <w:sz w:val="20"/>
          <w:szCs w:val="20"/>
          <w:color w:val="auto"/>
        </w:rPr>
      </w:pPr>
      <w:r>
        <w:rPr>
          <w:rFonts w:ascii="Arial" w:cs="Arial" w:eastAsia="Arial" w:hAnsi="Arial"/>
          <w:sz w:val="21"/>
          <w:szCs w:val="21"/>
          <w:color w:val="auto"/>
        </w:rPr>
        <w:t>16.19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w:t>
      </w:r>
    </w:p>
    <w:p>
      <w:pPr>
        <w:sectPr>
          <w:pgSz w:w="11900" w:h="16838" w:orient="portrait"/>
          <w:cols w:equalWidth="0" w:num="1">
            <w:col w:w="11420"/>
          </w:cols>
          <w:pgMar w:left="240" w:top="591" w:right="2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ownership of stock of the Company.</w:t>
      </w:r>
    </w:p>
    <w:p>
      <w:pPr>
        <w:spacing w:after="0" w:line="260" w:lineRule="exact"/>
        <w:rPr>
          <w:sz w:val="20"/>
          <w:szCs w:val="20"/>
          <w:color w:val="auto"/>
        </w:rPr>
      </w:pPr>
    </w:p>
    <w:p>
      <w:pPr>
        <w:ind w:right="20" w:firstLine="1053"/>
        <w:spacing w:after="0" w:line="263" w:lineRule="auto"/>
        <w:rPr>
          <w:sz w:val="20"/>
          <w:szCs w:val="20"/>
          <w:color w:val="auto"/>
        </w:rPr>
      </w:pPr>
      <w:r>
        <w:rPr>
          <w:rFonts w:ascii="Arial" w:cs="Arial" w:eastAsia="Arial" w:hAnsi="Arial"/>
          <w:sz w:val="22"/>
          <w:szCs w:val="22"/>
          <w:color w:val="auto"/>
        </w:rPr>
        <w:t>16.20 "Potential Change in Control" shall be deemed to have occurred if the event set forth in any one of the following subsections shall have occurred:</w:t>
      </w:r>
    </w:p>
    <w:p>
      <w:pPr>
        <w:spacing w:after="0" w:line="215" w:lineRule="exact"/>
        <w:rPr>
          <w:sz w:val="20"/>
          <w:szCs w:val="20"/>
          <w:color w:val="auto"/>
        </w:rPr>
      </w:pPr>
    </w:p>
    <w:p>
      <w:pPr>
        <w:ind w:left="2680" w:hanging="947"/>
        <w:spacing w:after="0"/>
        <w:tabs>
          <w:tab w:leader="none" w:pos="26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enters into an agreement, the consummation of which would result in the occurrence</w:t>
      </w:r>
    </w:p>
    <w:p>
      <w:pPr>
        <w:spacing w:after="0" w:line="56"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22"/>
          <w:szCs w:val="22"/>
          <w:color w:val="auto"/>
        </w:rPr>
        <w:t>of a Change in Control;</w:t>
      </w:r>
    </w:p>
    <w:p>
      <w:pPr>
        <w:spacing w:after="0" w:line="242" w:lineRule="exact"/>
        <w:rPr>
          <w:rFonts w:ascii="Arial" w:cs="Arial" w:eastAsia="Arial" w:hAnsi="Arial"/>
          <w:sz w:val="19"/>
          <w:szCs w:val="19"/>
          <w:color w:val="auto"/>
        </w:rPr>
      </w:pPr>
    </w:p>
    <w:p>
      <w:pPr>
        <w:ind w:left="440" w:firstLine="1293"/>
        <w:spacing w:after="0" w:line="263" w:lineRule="auto"/>
        <w:tabs>
          <w:tab w:leader="none" w:pos="267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or any Person publicly announces an intention to take or to consider taking actions which, if consummated, would constitute a Change in Control;</w:t>
      </w:r>
    </w:p>
    <w:p>
      <w:pPr>
        <w:spacing w:after="0" w:line="215" w:lineRule="exact"/>
        <w:rPr>
          <w:rFonts w:ascii="Arial" w:cs="Arial" w:eastAsia="Arial" w:hAnsi="Arial"/>
          <w:sz w:val="22"/>
          <w:szCs w:val="22"/>
          <w:color w:val="auto"/>
        </w:rPr>
      </w:pPr>
    </w:p>
    <w:p>
      <w:pPr>
        <w:jc w:val="both"/>
        <w:ind w:left="440" w:firstLine="1293"/>
        <w:spacing w:after="0" w:line="253" w:lineRule="auto"/>
        <w:tabs>
          <w:tab w:leader="none" w:pos="2673"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Person becomes the Beneficial Owner, directly or indirectly, of securities of the Company representing 15% or more of either the then outstanding shares of common stock of the Company or the combined voting power of the Company's then outstanding securities; or</w:t>
      </w:r>
    </w:p>
    <w:p>
      <w:pPr>
        <w:spacing w:after="0" w:line="226" w:lineRule="exact"/>
        <w:rPr>
          <w:rFonts w:ascii="Arial" w:cs="Arial" w:eastAsia="Arial" w:hAnsi="Arial"/>
          <w:sz w:val="22"/>
          <w:szCs w:val="22"/>
          <w:color w:val="auto"/>
        </w:rPr>
      </w:pPr>
    </w:p>
    <w:p>
      <w:pPr>
        <w:ind w:left="440" w:firstLine="1293"/>
        <w:spacing w:after="0" w:line="263" w:lineRule="auto"/>
        <w:tabs>
          <w:tab w:leader="none" w:pos="2685"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Board adopts a resolution to the effect that, for purposes of this Agreement, a Potential Change in Control has occurred.</w:t>
      </w:r>
    </w:p>
    <w:p>
      <w:pPr>
        <w:spacing w:after="0" w:line="215"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2"/>
          <w:szCs w:val="22"/>
          <w:color w:val="auto"/>
        </w:rPr>
        <w:t>16.21 "Potential Change in Control Period" shall commence upon the occurrence of a Potential Change in Control and shall lapse upon the occurrence of a Change in Control or, if earlier (i) with respect to a Potential Change in Control occurring pursuant to Section 16.20(A), immediately upon the abandonment or termination of the applicable agreement, (ii) with respect to a Potential Change in Control occurring pursuant to Section 16.20(B), immediately upon a public announcement by the applicable party that such party has abandoned its intention to take or consider taking actions which if consummated would result in a Change in Control or (iii) with respect to a Potential Change in Control occurring pursuant to Section 16.20(C) or (D), upon the one year anniversary of the occurrence of a Potential Change in Control (or such earlier date as may be determined by the Board).</w:t>
      </w:r>
    </w:p>
    <w:p>
      <w:pPr>
        <w:spacing w:after="0" w:line="235" w:lineRule="exact"/>
        <w:rPr>
          <w:sz w:val="20"/>
          <w:szCs w:val="20"/>
          <w:color w:val="auto"/>
        </w:rPr>
      </w:pPr>
    </w:p>
    <w:p>
      <w:pPr>
        <w:jc w:val="both"/>
        <w:ind w:firstLine="1053"/>
        <w:spacing w:after="0" w:line="253" w:lineRule="auto"/>
        <w:rPr>
          <w:sz w:val="20"/>
          <w:szCs w:val="20"/>
          <w:color w:val="auto"/>
        </w:rPr>
      </w:pPr>
      <w:r>
        <w:rPr>
          <w:rFonts w:ascii="Arial" w:cs="Arial" w:eastAsia="Arial" w:hAnsi="Arial"/>
          <w:sz w:val="22"/>
          <w:szCs w:val="22"/>
          <w:color w:val="auto"/>
        </w:rPr>
        <w:t>16.22 "Retirement" shall be deemed the reason for the termination by the Executive of the Executive's employment if such employment is terminated in accordance with the Company's retirement policy, including early retirement, generally applicable to its salaried employees.</w:t>
      </w:r>
    </w:p>
    <w:p>
      <w:pPr>
        <w:spacing w:after="0" w:line="226" w:lineRule="exact"/>
        <w:rPr>
          <w:sz w:val="20"/>
          <w:szCs w:val="20"/>
          <w:color w:val="auto"/>
        </w:rPr>
      </w:pPr>
    </w:p>
    <w:p>
      <w:pPr>
        <w:ind w:left="1060"/>
        <w:spacing w:after="0"/>
        <w:tabs>
          <w:tab w:leader="none" w:pos="2200" w:val="left"/>
        </w:tabs>
        <w:rPr>
          <w:sz w:val="20"/>
          <w:szCs w:val="20"/>
          <w:color w:val="auto"/>
        </w:rPr>
      </w:pPr>
      <w:r>
        <w:rPr>
          <w:rFonts w:ascii="Arial" w:cs="Arial" w:eastAsia="Arial" w:hAnsi="Arial"/>
          <w:sz w:val="22"/>
          <w:szCs w:val="22"/>
          <w:color w:val="auto"/>
        </w:rPr>
        <w:t>16.23</w:t>
      </w:r>
      <w:r>
        <w:rPr>
          <w:sz w:val="20"/>
          <w:szCs w:val="20"/>
          <w:color w:val="auto"/>
        </w:rPr>
        <w:tab/>
      </w:r>
      <w:r>
        <w:rPr>
          <w:rFonts w:ascii="Arial" w:cs="Arial" w:eastAsia="Arial" w:hAnsi="Arial"/>
          <w:sz w:val="19"/>
          <w:szCs w:val="19"/>
          <w:color w:val="auto"/>
        </w:rPr>
        <w:t>"Severance Payments" shall have the meaning set forth in Section 6.1.</w:t>
      </w:r>
    </w:p>
    <w:p>
      <w:pPr>
        <w:spacing w:after="0" w:line="260" w:lineRule="exact"/>
        <w:rPr>
          <w:sz w:val="20"/>
          <w:szCs w:val="20"/>
          <w:color w:val="auto"/>
        </w:rPr>
      </w:pPr>
    </w:p>
    <w:p>
      <w:pPr>
        <w:ind w:left="1060"/>
        <w:spacing w:after="0"/>
        <w:tabs>
          <w:tab w:leader="none" w:pos="2200" w:val="left"/>
        </w:tabs>
        <w:rPr>
          <w:sz w:val="20"/>
          <w:szCs w:val="20"/>
          <w:color w:val="auto"/>
        </w:rPr>
      </w:pPr>
      <w:r>
        <w:rPr>
          <w:rFonts w:ascii="Arial" w:cs="Arial" w:eastAsia="Arial" w:hAnsi="Arial"/>
          <w:sz w:val="22"/>
          <w:szCs w:val="22"/>
          <w:color w:val="auto"/>
        </w:rPr>
        <w:t>16.24</w:t>
      </w:r>
      <w:r>
        <w:rPr>
          <w:sz w:val="20"/>
          <w:szCs w:val="20"/>
          <w:color w:val="auto"/>
        </w:rPr>
        <w:tab/>
      </w:r>
      <w:r>
        <w:rPr>
          <w:rFonts w:ascii="Arial" w:cs="Arial" w:eastAsia="Arial" w:hAnsi="Arial"/>
          <w:sz w:val="19"/>
          <w:szCs w:val="19"/>
          <w:color w:val="auto"/>
        </w:rPr>
        <w:t>"Tax Counsel" shall have the meaning set forth in Section 6.2.</w:t>
      </w:r>
    </w:p>
    <w:p>
      <w:pPr>
        <w:spacing w:after="0" w:line="260" w:lineRule="exact"/>
        <w:rPr>
          <w:sz w:val="20"/>
          <w:szCs w:val="20"/>
          <w:color w:val="auto"/>
        </w:rPr>
      </w:pPr>
    </w:p>
    <w:p>
      <w:pPr>
        <w:jc w:val="both"/>
        <w:ind w:firstLine="1053"/>
        <w:spacing w:after="0" w:line="263" w:lineRule="auto"/>
        <w:rPr>
          <w:sz w:val="20"/>
          <w:szCs w:val="20"/>
          <w:color w:val="auto"/>
        </w:rPr>
      </w:pPr>
      <w:r>
        <w:rPr>
          <w:rFonts w:ascii="Arial" w:cs="Arial" w:eastAsia="Arial" w:hAnsi="Arial"/>
          <w:sz w:val="22"/>
          <w:szCs w:val="22"/>
          <w:color w:val="auto"/>
        </w:rPr>
        <w:t>16.25 "Term" shall mean the period of time described in Section 2 (including any extension, continuation or termination described therein).</w:t>
      </w:r>
    </w:p>
    <w:p>
      <w:pPr>
        <w:spacing w:after="0" w:line="215" w:lineRule="exact"/>
        <w:rPr>
          <w:sz w:val="20"/>
          <w:szCs w:val="20"/>
          <w:color w:val="auto"/>
        </w:rPr>
      </w:pPr>
    </w:p>
    <w:p>
      <w:pPr>
        <w:ind w:left="1060"/>
        <w:spacing w:after="0"/>
        <w:tabs>
          <w:tab w:leader="none" w:pos="2200" w:val="left"/>
        </w:tabs>
        <w:rPr>
          <w:sz w:val="20"/>
          <w:szCs w:val="20"/>
          <w:color w:val="auto"/>
        </w:rPr>
      </w:pPr>
      <w:r>
        <w:rPr>
          <w:rFonts w:ascii="Arial" w:cs="Arial" w:eastAsia="Arial" w:hAnsi="Arial"/>
          <w:sz w:val="22"/>
          <w:szCs w:val="22"/>
          <w:color w:val="auto"/>
        </w:rPr>
        <w:t>16.26</w:t>
      </w:r>
      <w:r>
        <w:rPr>
          <w:sz w:val="20"/>
          <w:szCs w:val="20"/>
          <w:color w:val="auto"/>
        </w:rPr>
        <w:tab/>
      </w:r>
      <w:r>
        <w:rPr>
          <w:rFonts w:ascii="Arial" w:cs="Arial" w:eastAsia="Arial" w:hAnsi="Arial"/>
          <w:sz w:val="19"/>
          <w:szCs w:val="19"/>
          <w:color w:val="auto"/>
        </w:rPr>
        <w:t>"Total Payments" shall mean those payments so described in Section 6.2.</w:t>
      </w:r>
    </w:p>
    <w:p>
      <w:pPr>
        <w:sectPr>
          <w:pgSz w:w="11900" w:h="16838" w:orient="portrait"/>
          <w:cols w:equalWidth="0" w:num="1">
            <w:col w:w="11200"/>
          </w:cols>
          <w:pgMar w:left="460" w:top="591" w:right="239" w:bottom="1440" w:gutter="0" w:footer="0" w:header="0"/>
        </w:sectPr>
      </w:pPr>
    </w:p>
    <w:bookmarkStart w:id="109" w:name="page110"/>
    <w:bookmarkEnd w:id="109"/>
    <w:p>
      <w:pPr>
        <w:ind w:left="100"/>
        <w:spacing w:after="0"/>
        <w:rPr>
          <w:sz w:val="20"/>
          <w:szCs w:val="20"/>
          <w:color w:val="auto"/>
        </w:rPr>
      </w:pPr>
      <w:r>
        <w:rPr>
          <w:rFonts w:ascii="Arial" w:cs="Arial" w:eastAsia="Arial" w:hAnsi="Arial"/>
          <w:sz w:val="19"/>
          <w:szCs w:val="19"/>
          <w:color w:val="auto"/>
        </w:rPr>
        <w:t>IN WITNESS WHEREOF, the parties have executed this Agreement as of the date first above written.</w:t>
      </w:r>
    </w:p>
    <w:p>
      <w:pPr>
        <w:sectPr>
          <w:pgSz w:w="11900" w:h="16838" w:orient="portrait"/>
          <w:cols w:equalWidth="0" w:num="1">
            <w:col w:w="9019"/>
          </w:cols>
          <w:pgMar w:left="1440" w:top="847" w:right="1440" w:bottom="1440" w:gutter="0" w:footer="0" w:header="0"/>
        </w:sectPr>
      </w:pP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By:___________________________________</w:t>
      </w:r>
    </w:p>
    <w:p>
      <w:pPr>
        <w:spacing w:after="0" w:line="5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_________________</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Address:</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_________________</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_________________</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(Please print carefully)</w:t>
      </w:r>
    </w:p>
    <w:p>
      <w:pPr>
        <w:sectPr>
          <w:pgSz w:w="11900" w:h="16838" w:orient="portrait"/>
          <w:cols w:equalWidth="0" w:num="1">
            <w:col w:w="9019"/>
          </w:cols>
          <w:pgMar w:left="1440" w:top="847" w:right="1440"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Holleran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Byron Jackson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 Le Bris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Marcel Regnier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140" w:hanging="204"/>
        <w:spacing w:after="0" w:line="277"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Regnier's change in control agreement includes a modification relating to French laws (Filed as Exhibit 10.2 to Itron, Inc.’s Current Report on Form 8-K, filed on April 2, 2012 - File No. 0-22418))</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H. Gaylord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Holleran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 Le Bris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Marcel Regnier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M. Wilson</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STOCK INCENTIVE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NOTICE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Itron, Inc. (the "Company") hereby grants to Participant an option (the "Option") to purchase shares of the Company's common stock.</w:t>
      </w:r>
    </w:p>
    <w:p>
      <w:pPr>
        <w:spacing w:after="0" w:line="317" w:lineRule="exact"/>
        <w:rPr>
          <w:sz w:val="20"/>
          <w:szCs w:val="20"/>
          <w:color w:val="auto"/>
        </w:rPr>
      </w:pPr>
    </w:p>
    <w:tbl>
      <w:tblPr>
        <w:tblLayout w:type="fixed"/>
        <w:tblInd w:w="520" w:type="dxa"/>
        <w:tblCellMar>
          <w:top w:w="0" w:type="dxa"/>
          <w:left w:w="0" w:type="dxa"/>
          <w:bottom w:w="0" w:type="dxa"/>
          <w:right w:w="0" w:type="dxa"/>
        </w:tblCellMar>
      </w:tblPr>
      <w:tr>
        <w:trPr>
          <w:trHeight w:val="281"/>
        </w:trPr>
        <w:tc>
          <w:tcPr>
            <w:tcW w:w="4060" w:type="dxa"/>
            <w:vAlign w:val="bottom"/>
          </w:tcPr>
          <w:p>
            <w:pPr>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tc>
        <w:tc>
          <w:tcPr>
            <w:tcW w:w="6320" w:type="dxa"/>
            <w:vAlign w:val="bottom"/>
          </w:tcPr>
          <w:p>
            <w:pPr>
              <w:ind w:left="640"/>
              <w:spacing w:after="0"/>
              <w:rPr>
                <w:sz w:val="20"/>
                <w:szCs w:val="20"/>
                <w:color w:val="auto"/>
              </w:rPr>
            </w:pPr>
            <w:r>
              <w:rPr>
                <w:rFonts w:ascii="Arial" w:cs="Arial" w:eastAsia="Arial" w:hAnsi="Arial"/>
                <w:sz w:val="18"/>
                <w:szCs w:val="18"/>
                <w:b w:val="1"/>
                <w:bCs w:val="1"/>
                <w:color w:val="auto"/>
              </w:rPr>
              <w:t>&lt;&lt;Name&gt;&gt; &lt;&lt;SSN&gt;&gt;</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0"/>
                <w:szCs w:val="20"/>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w:t>
            </w:r>
          </w:p>
        </w:tc>
        <w:tc>
          <w:tcPr>
            <w:tcW w:w="6320" w:type="dxa"/>
            <w:vAlign w:val="bottom"/>
          </w:tcPr>
          <w:p>
            <w:pPr>
              <w:ind w:left="640"/>
              <w:spacing w:after="0"/>
              <w:rPr>
                <w:sz w:val="20"/>
                <w:szCs w:val="20"/>
                <w:color w:val="auto"/>
              </w:rPr>
            </w:pPr>
            <w:r>
              <w:rPr>
                <w:rFonts w:ascii="Arial" w:cs="Arial" w:eastAsia="Arial" w:hAnsi="Arial"/>
                <w:sz w:val="18"/>
                <w:szCs w:val="18"/>
                <w:b w:val="1"/>
                <w:bCs w:val="1"/>
                <w:color w:val="auto"/>
              </w:rPr>
              <w:t>&lt;&lt;Grant Date&gt;&gt;</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0"/>
                <w:szCs w:val="20"/>
                <w:color w:val="auto"/>
              </w:rPr>
            </w:pPr>
            <w:r>
              <w:rPr>
                <w:rFonts w:ascii="Arial" w:cs="Arial" w:eastAsia="Arial" w:hAnsi="Arial"/>
                <w:sz w:val="22"/>
                <w:szCs w:val="22"/>
                <w:b w:val="1"/>
                <w:bCs w:val="1"/>
                <w:color w:val="auto"/>
              </w:rPr>
              <w:t>Number of Shares Subject to Option</w:t>
            </w:r>
            <w:r>
              <w:rPr>
                <w:rFonts w:ascii="Arial" w:cs="Arial" w:eastAsia="Arial" w:hAnsi="Arial"/>
                <w:sz w:val="22"/>
                <w:szCs w:val="22"/>
                <w:color w:val="auto"/>
              </w:rPr>
              <w:t>:</w:t>
            </w:r>
          </w:p>
        </w:tc>
        <w:tc>
          <w:tcPr>
            <w:tcW w:w="6320" w:type="dxa"/>
            <w:vAlign w:val="bottom"/>
          </w:tcPr>
          <w:p>
            <w:pPr>
              <w:ind w:left="640"/>
              <w:spacing w:after="0"/>
              <w:rPr>
                <w:sz w:val="20"/>
                <w:szCs w:val="20"/>
                <w:color w:val="auto"/>
              </w:rPr>
            </w:pPr>
            <w:r>
              <w:rPr>
                <w:rFonts w:ascii="Arial" w:cs="Arial" w:eastAsia="Arial" w:hAnsi="Arial"/>
                <w:sz w:val="18"/>
                <w:szCs w:val="18"/>
                <w:b w:val="1"/>
                <w:bCs w:val="1"/>
                <w:color w:val="auto"/>
              </w:rPr>
              <w:t>&lt;&lt;Option Granted&gt;&gt;</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0"/>
                <w:szCs w:val="20"/>
                <w:color w:val="auto"/>
              </w:rPr>
            </w:pPr>
            <w:r>
              <w:rPr>
                <w:rFonts w:ascii="Arial" w:cs="Arial" w:eastAsia="Arial" w:hAnsi="Arial"/>
                <w:sz w:val="22"/>
                <w:szCs w:val="22"/>
                <w:b w:val="1"/>
                <w:bCs w:val="1"/>
                <w:color w:val="auto"/>
              </w:rPr>
              <w:t>Grant Price (per Share)</w:t>
            </w:r>
            <w:r>
              <w:rPr>
                <w:rFonts w:ascii="Arial" w:cs="Arial" w:eastAsia="Arial" w:hAnsi="Arial"/>
                <w:sz w:val="22"/>
                <w:szCs w:val="22"/>
                <w:color w:val="auto"/>
              </w:rPr>
              <w:t>:</w:t>
            </w:r>
          </w:p>
        </w:tc>
        <w:tc>
          <w:tcPr>
            <w:tcW w:w="6320" w:type="dxa"/>
            <w:vAlign w:val="bottom"/>
          </w:tcPr>
          <w:p>
            <w:pPr>
              <w:ind w:left="640"/>
              <w:spacing w:after="0"/>
              <w:rPr>
                <w:sz w:val="20"/>
                <w:szCs w:val="20"/>
                <w:color w:val="auto"/>
              </w:rPr>
            </w:pPr>
            <w:r>
              <w:rPr>
                <w:rFonts w:ascii="Arial" w:cs="Arial" w:eastAsia="Arial" w:hAnsi="Arial"/>
                <w:sz w:val="18"/>
                <w:szCs w:val="18"/>
                <w:b w:val="1"/>
                <w:bCs w:val="1"/>
                <w:color w:val="auto"/>
              </w:rPr>
              <w:t>&lt;&lt;Grant Price&gt;&gt;</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0"/>
                <w:szCs w:val="20"/>
                <w:color w:val="auto"/>
              </w:rPr>
            </w:pPr>
            <w:r>
              <w:rPr>
                <w:rFonts w:ascii="Arial" w:cs="Arial" w:eastAsia="Arial" w:hAnsi="Arial"/>
                <w:sz w:val="22"/>
                <w:szCs w:val="22"/>
                <w:b w:val="1"/>
                <w:bCs w:val="1"/>
                <w:color w:val="auto"/>
              </w:rPr>
              <w:t>Option Expiration Date</w:t>
            </w:r>
            <w:r>
              <w:rPr>
                <w:rFonts w:ascii="Arial" w:cs="Arial" w:eastAsia="Arial" w:hAnsi="Arial"/>
                <w:sz w:val="22"/>
                <w:szCs w:val="22"/>
                <w:color w:val="auto"/>
              </w:rPr>
              <w:t>:</w:t>
            </w:r>
          </w:p>
        </w:tc>
        <w:tc>
          <w:tcPr>
            <w:tcW w:w="6320" w:type="dxa"/>
            <w:vAlign w:val="bottom"/>
          </w:tcPr>
          <w:p>
            <w:pPr>
              <w:ind w:left="640"/>
              <w:spacing w:after="0"/>
              <w:rPr>
                <w:sz w:val="20"/>
                <w:szCs w:val="20"/>
                <w:color w:val="auto"/>
              </w:rPr>
            </w:pPr>
            <w:r>
              <w:rPr>
                <w:rFonts w:ascii="Arial" w:cs="Arial" w:eastAsia="Arial" w:hAnsi="Arial"/>
                <w:sz w:val="18"/>
                <w:szCs w:val="18"/>
                <w:b w:val="1"/>
                <w:bCs w:val="1"/>
                <w:color w:val="auto"/>
              </w:rPr>
              <w:t>&lt;&lt;Expiration Date&gt;&gt;</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4"/>
                <w:szCs w:val="24"/>
                <w:color w:val="auto"/>
              </w:rPr>
            </w:pPr>
          </w:p>
        </w:tc>
        <w:tc>
          <w:tcPr>
            <w:tcW w:w="6320" w:type="dxa"/>
            <w:vAlign w:val="bottom"/>
          </w:tcPr>
          <w:p>
            <w:pPr>
              <w:ind w:left="640"/>
              <w:spacing w:after="0"/>
              <w:rPr>
                <w:sz w:val="20"/>
                <w:szCs w:val="20"/>
                <w:color w:val="auto"/>
              </w:rPr>
            </w:pPr>
            <w:r>
              <w:rPr>
                <w:rFonts w:ascii="Arial" w:cs="Arial" w:eastAsia="Arial" w:hAnsi="Arial"/>
                <w:sz w:val="22"/>
                <w:szCs w:val="22"/>
                <w:b w:val="1"/>
                <w:bCs w:val="1"/>
                <w:color w:val="auto"/>
              </w:rPr>
              <w:t>&lt;&lt;Incentive Stock Option&gt;&gt;</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tc>
        <w:tc>
          <w:tcPr>
            <w:tcW w:w="6320" w:type="dxa"/>
            <w:vAlign w:val="bottom"/>
          </w:tcPr>
          <w:p>
            <w:pPr>
              <w:ind w:left="640"/>
              <w:spacing w:after="0"/>
              <w:rPr>
                <w:sz w:val="20"/>
                <w:szCs w:val="20"/>
                <w:color w:val="auto"/>
              </w:rPr>
            </w:pPr>
            <w:r>
              <w:rPr>
                <w:rFonts w:ascii="Arial" w:cs="Arial" w:eastAsia="Arial" w:hAnsi="Arial"/>
                <w:sz w:val="22"/>
                <w:szCs w:val="22"/>
                <w:b w:val="1"/>
                <w:bCs w:val="1"/>
                <w:color w:val="auto"/>
              </w:rPr>
              <w:t>&lt;&lt;Nonqualified Stock Option&gt;&gt;</w:t>
            </w:r>
          </w:p>
        </w:tc>
        <w:tc>
          <w:tcPr>
            <w:tcW w:w="0" w:type="dxa"/>
            <w:vAlign w:val="bottom"/>
          </w:tcPr>
          <w:p>
            <w:pPr>
              <w:spacing w:after="0"/>
              <w:rPr>
                <w:sz w:val="1"/>
                <w:szCs w:val="1"/>
                <w:color w:val="auto"/>
              </w:rPr>
            </w:pPr>
          </w:p>
        </w:tc>
      </w:tr>
      <w:tr>
        <w:trPr>
          <w:trHeight w:val="311"/>
        </w:trPr>
        <w:tc>
          <w:tcPr>
            <w:tcW w:w="4060" w:type="dxa"/>
            <w:vAlign w:val="bottom"/>
          </w:tcPr>
          <w:p>
            <w:pPr>
              <w:spacing w:after="0"/>
              <w:rPr>
                <w:sz w:val="24"/>
                <w:szCs w:val="24"/>
                <w:color w:val="auto"/>
              </w:rPr>
            </w:pPr>
          </w:p>
        </w:tc>
        <w:tc>
          <w:tcPr>
            <w:tcW w:w="6320" w:type="dxa"/>
            <w:vAlign w:val="bottom"/>
          </w:tcPr>
          <w:p>
            <w:pPr>
              <w:ind w:left="640"/>
              <w:spacing w:after="0"/>
              <w:rPr>
                <w:sz w:val="20"/>
                <w:szCs w:val="20"/>
                <w:color w:val="auto"/>
              </w:rPr>
            </w:pPr>
            <w:r>
              <w:rPr>
                <w:rFonts w:ascii="Arial" w:cs="Arial" w:eastAsia="Arial" w:hAnsi="Arial"/>
                <w:sz w:val="20"/>
                <w:szCs w:val="20"/>
                <w:color w:val="auto"/>
                <w:w w:val="94"/>
              </w:rPr>
              <w:t>33-1/3% of the Option will vest and become exercisable on the one-</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6320" w:type="dxa"/>
            <w:vAlign w:val="bottom"/>
          </w:tcPr>
          <w:p>
            <w:pPr>
              <w:ind w:left="640"/>
              <w:spacing w:after="0"/>
              <w:rPr>
                <w:sz w:val="20"/>
                <w:szCs w:val="20"/>
                <w:color w:val="auto"/>
              </w:rPr>
            </w:pPr>
            <w:r>
              <w:rPr>
                <w:rFonts w:ascii="Arial" w:cs="Arial" w:eastAsia="Arial" w:hAnsi="Arial"/>
                <w:sz w:val="20"/>
                <w:szCs w:val="20"/>
                <w:color w:val="auto"/>
                <w:w w:val="99"/>
              </w:rPr>
              <w:t>year anniversary of the Grant Date. An additional 33-1/3% of the</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6320" w:type="dxa"/>
            <w:vAlign w:val="bottom"/>
          </w:tcPr>
          <w:p>
            <w:pPr>
              <w:ind w:left="640"/>
              <w:spacing w:after="0"/>
              <w:rPr>
                <w:sz w:val="20"/>
                <w:szCs w:val="20"/>
                <w:color w:val="auto"/>
              </w:rPr>
            </w:pPr>
            <w:r>
              <w:rPr>
                <w:rFonts w:ascii="Arial" w:cs="Arial" w:eastAsia="Arial" w:hAnsi="Arial"/>
                <w:sz w:val="20"/>
                <w:szCs w:val="20"/>
                <w:color w:val="auto"/>
                <w:w w:val="93"/>
              </w:rPr>
              <w:t>Option will vest and become exercisable each year thereafter so that</w:t>
            </w:r>
          </w:p>
        </w:tc>
        <w:tc>
          <w:tcPr>
            <w:tcW w:w="0" w:type="dxa"/>
            <w:vAlign w:val="bottom"/>
          </w:tcPr>
          <w:p>
            <w:pPr>
              <w:spacing w:after="0"/>
              <w:rPr>
                <w:sz w:val="1"/>
                <w:szCs w:val="1"/>
                <w:color w:val="auto"/>
              </w:rPr>
            </w:pPr>
          </w:p>
        </w:tc>
      </w:tr>
      <w:tr>
        <w:trPr>
          <w:trHeight w:val="230"/>
        </w:trPr>
        <w:tc>
          <w:tcPr>
            <w:tcW w:w="4060" w:type="dxa"/>
            <w:vAlign w:val="bottom"/>
            <w:vMerge w:val="restart"/>
          </w:tcPr>
          <w:p>
            <w:pPr>
              <w:spacing w:after="0"/>
              <w:rPr>
                <w:sz w:val="20"/>
                <w:szCs w:val="20"/>
                <w:color w:val="auto"/>
              </w:rPr>
            </w:pPr>
            <w:r>
              <w:rPr>
                <w:rFonts w:ascii="Arial" w:cs="Arial" w:eastAsia="Arial" w:hAnsi="Arial"/>
                <w:sz w:val="22"/>
                <w:szCs w:val="22"/>
                <w:b w:val="1"/>
                <w:bCs w:val="1"/>
                <w:color w:val="auto"/>
              </w:rPr>
              <w:t>Vesting and Exercisability Schedule</w:t>
            </w:r>
            <w:r>
              <w:rPr>
                <w:rFonts w:ascii="Arial" w:cs="Arial" w:eastAsia="Arial" w:hAnsi="Arial"/>
                <w:sz w:val="22"/>
                <w:szCs w:val="22"/>
                <w:color w:val="auto"/>
              </w:rPr>
              <w:t>:</w:t>
            </w:r>
          </w:p>
        </w:tc>
        <w:tc>
          <w:tcPr>
            <w:tcW w:w="6320" w:type="dxa"/>
            <w:vAlign w:val="bottom"/>
          </w:tcPr>
          <w:p>
            <w:pPr>
              <w:ind w:left="640"/>
              <w:spacing w:after="0"/>
              <w:rPr>
                <w:sz w:val="20"/>
                <w:szCs w:val="20"/>
                <w:color w:val="auto"/>
              </w:rPr>
            </w:pPr>
            <w:r>
              <w:rPr>
                <w:rFonts w:ascii="Arial" w:cs="Arial" w:eastAsia="Arial" w:hAnsi="Arial"/>
                <w:sz w:val="20"/>
                <w:szCs w:val="20"/>
                <w:color w:val="auto"/>
                <w:w w:val="92"/>
              </w:rPr>
              <w:t>the entire Option will be fully vested and exercisable three years from</w:t>
            </w:r>
          </w:p>
        </w:tc>
        <w:tc>
          <w:tcPr>
            <w:tcW w:w="0" w:type="dxa"/>
            <w:vAlign w:val="bottom"/>
          </w:tcPr>
          <w:p>
            <w:pPr>
              <w:spacing w:after="0"/>
              <w:rPr>
                <w:sz w:val="1"/>
                <w:szCs w:val="1"/>
                <w:color w:val="auto"/>
              </w:rPr>
            </w:pPr>
          </w:p>
        </w:tc>
      </w:tr>
      <w:tr>
        <w:trPr>
          <w:trHeight w:val="250"/>
        </w:trPr>
        <w:tc>
          <w:tcPr>
            <w:tcW w:w="4060" w:type="dxa"/>
            <w:vAlign w:val="bottom"/>
            <w:vMerge w:val="continue"/>
          </w:tcPr>
          <w:p>
            <w:pPr>
              <w:spacing w:after="0"/>
              <w:rPr>
                <w:sz w:val="21"/>
                <w:szCs w:val="21"/>
                <w:color w:val="auto"/>
              </w:rPr>
            </w:pPr>
          </w:p>
        </w:tc>
        <w:tc>
          <w:tcPr>
            <w:tcW w:w="6320" w:type="dxa"/>
            <w:vAlign w:val="bottom"/>
          </w:tcPr>
          <w:p>
            <w:pPr>
              <w:ind w:left="640"/>
              <w:spacing w:after="0"/>
              <w:rPr>
                <w:sz w:val="20"/>
                <w:szCs w:val="20"/>
                <w:color w:val="auto"/>
              </w:rPr>
            </w:pPr>
            <w:r>
              <w:rPr>
                <w:rFonts w:ascii="Arial" w:cs="Arial" w:eastAsia="Arial" w:hAnsi="Arial"/>
                <w:sz w:val="20"/>
                <w:szCs w:val="20"/>
                <w:color w:val="auto"/>
              </w:rPr>
              <w:t>the Grant Date.</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Additional Terms: </w:t>
      </w:r>
      <w:r>
        <w:rPr>
          <w:rFonts w:ascii="Arial" w:cs="Arial" w:eastAsia="Arial" w:hAnsi="Arial"/>
          <w:sz w:val="22"/>
          <w:szCs w:val="22"/>
          <w:color w:val="auto"/>
        </w:rPr>
        <w:t>The Option is subject to all the terms and conditions set forth in this Stock Option Grant Notice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Stock Option Agreement, and the Company's 2010 Stock Incentive Plan (the "Plan"), which are attached to and incorporated into this Grant Notice in their entirety.</w:t>
      </w:r>
    </w:p>
    <w:p>
      <w:pPr>
        <w:spacing w:after="0" w:line="200" w:lineRule="exact"/>
        <w:rPr>
          <w:sz w:val="20"/>
          <w:szCs w:val="20"/>
          <w:color w:val="auto"/>
        </w:rPr>
      </w:pPr>
    </w:p>
    <w:p>
      <w:pPr>
        <w:spacing w:after="0" w:line="354"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&lt;&lt;Name&gt;&gt;</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I accept the Option subject to the terms and conditions stated herein.</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&lt;&lt;electronically signed&gt;&gt;</w:t>
      </w:r>
    </w:p>
    <w:p>
      <w:pPr>
        <w:spacing w:after="0" w:line="23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p>
      <w:pPr>
        <w:spacing w:after="0" w:line="67" w:lineRule="exact"/>
        <w:rPr>
          <w:sz w:val="20"/>
          <w:szCs w:val="20"/>
          <w:color w:val="auto"/>
        </w:rPr>
      </w:pPr>
    </w:p>
    <w:p>
      <w:pPr>
        <w:ind w:left="3360" w:hanging="178"/>
        <w:spacing w:after="0"/>
        <w:tabs>
          <w:tab w:leader="none" w:pos="3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Option Agreement</w:t>
      </w:r>
    </w:p>
    <w:p>
      <w:pPr>
        <w:spacing w:after="0" w:line="63" w:lineRule="exact"/>
        <w:rPr>
          <w:rFonts w:ascii="Arial" w:cs="Arial" w:eastAsia="Arial" w:hAnsi="Arial"/>
          <w:sz w:val="18"/>
          <w:szCs w:val="18"/>
          <w:color w:val="auto"/>
        </w:rPr>
      </w:pPr>
    </w:p>
    <w:p>
      <w:pPr>
        <w:ind w:left="3360" w:hanging="178"/>
        <w:spacing w:after="0"/>
        <w:tabs>
          <w:tab w:leader="none" w:pos="3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2010 Stock Incentive Plan</w:t>
      </w:r>
    </w:p>
    <w:p>
      <w:pPr>
        <w:spacing w:after="0" w:line="63" w:lineRule="exact"/>
        <w:rPr>
          <w:rFonts w:ascii="Arial" w:cs="Arial" w:eastAsia="Arial" w:hAnsi="Arial"/>
          <w:sz w:val="18"/>
          <w:szCs w:val="18"/>
          <w:color w:val="auto"/>
        </w:rPr>
      </w:pPr>
    </w:p>
    <w:p>
      <w:pPr>
        <w:ind w:left="3360" w:hanging="178"/>
        <w:spacing w:after="0"/>
        <w:tabs>
          <w:tab w:leader="none" w:pos="3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Plan Prospectus</w:t>
      </w:r>
    </w:p>
    <w:p>
      <w:pPr>
        <w:sectPr>
          <w:pgSz w:w="11900" w:h="16838" w:orient="portrait"/>
          <w:cols w:equalWidth="0" w:num="1">
            <w:col w:w="11420"/>
          </w:cols>
          <w:pgMar w:left="240" w:top="796"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STOCK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Pursuant to your Stock Option Grant Notice (the "Grant Notice"), Itron, Inc. (the "Company") has granted you an Option (the "Option") under its 2010 Stock Incentive Plan (the "Plan") to purchase the number of shares of the Company's common stock (the "Shares") indicated in your Grant Notice at the price (the "Grant Price") indicated in your Grant Notice. Capitalized terms not expressly defined in this Stock Option Agreement or the Grant Notice have the same definitions as in the Plan.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The details of the Option are as follows:</w:t>
      </w:r>
    </w:p>
    <w:p>
      <w:pPr>
        <w:spacing w:after="0" w:line="214" w:lineRule="exact"/>
        <w:rPr>
          <w:sz w:val="20"/>
          <w:szCs w:val="20"/>
          <w:color w:val="auto"/>
        </w:rPr>
      </w:pPr>
    </w:p>
    <w:p>
      <w:pPr>
        <w:jc w:val="both"/>
        <w:ind w:firstLine="8"/>
        <w:spacing w:after="0" w:line="262" w:lineRule="auto"/>
        <w:tabs>
          <w:tab w:leader="none" w:pos="477"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Vesting and Exercisability</w:t>
      </w:r>
      <w:r>
        <w:rPr>
          <w:rFonts w:ascii="Arial" w:cs="Arial" w:eastAsia="Arial" w:hAnsi="Arial"/>
          <w:sz w:val="22"/>
          <w:szCs w:val="22"/>
          <w:color w:val="auto"/>
        </w:rPr>
        <w:t>. Subject to the limitations contained herein, the Option will vest and become exercisable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your Grant Notice. Notwithstanding the foregoing, in the event of your death or Disability while an employee of the Company or a Related Corporation, the Option will fully vest and become exercisable.</w:t>
      </w:r>
    </w:p>
    <w:p>
      <w:pPr>
        <w:spacing w:after="0" w:line="170" w:lineRule="exact"/>
        <w:rPr>
          <w:rFonts w:ascii="Arial" w:cs="Arial" w:eastAsia="Arial" w:hAnsi="Arial"/>
          <w:sz w:val="22"/>
          <w:szCs w:val="22"/>
          <w:color w:val="auto"/>
        </w:rPr>
      </w:pPr>
    </w:p>
    <w:p>
      <w:pPr>
        <w:jc w:val="both"/>
        <w:ind w:firstLine="8"/>
        <w:spacing w:after="0" w:line="287" w:lineRule="auto"/>
        <w:tabs>
          <w:tab w:leader="none" w:pos="41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Securities Law Compliance</w:t>
      </w:r>
      <w:r>
        <w:rPr>
          <w:rFonts w:ascii="Arial" w:cs="Arial" w:eastAsia="Arial" w:hAnsi="Arial"/>
          <w:sz w:val="19"/>
          <w:szCs w:val="19"/>
          <w:color w:val="auto"/>
        </w:rPr>
        <w:t>. At the present time, the Company has an effective registration statement on file with the U.S.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and Exchange Commission with respect to the Shares. The Company intends to maintain this registration but has no obligation to do so. In the event that such registration ceases to be effective, you will not be able to exercise the Option unless exemptions from registration under U.S. federal and state (and, where applicable, foreign)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 In addition, you agree not to sell any of the Shares received under this Option at a time when applicable laws or Company policies prohibit a sale.</w:t>
      </w:r>
    </w:p>
    <w:p>
      <w:pPr>
        <w:jc w:val="both"/>
        <w:ind w:left="660" w:hanging="328"/>
        <w:spacing w:after="0" w:line="260" w:lineRule="auto"/>
        <w:tabs>
          <w:tab w:leader="none" w:pos="660" w:val="left"/>
        </w:tabs>
        <w:numPr>
          <w:ilvl w:val="1"/>
          <w:numId w:val="52"/>
        </w:numPr>
        <w:rPr>
          <w:rFonts w:ascii="Arial" w:cs="Arial" w:eastAsia="Arial" w:hAnsi="Arial"/>
          <w:sz w:val="17"/>
          <w:szCs w:val="17"/>
          <w:color w:val="auto"/>
        </w:rPr>
      </w:pPr>
      <w:r>
        <w:rPr>
          <w:rFonts w:ascii="Arial" w:cs="Arial" w:eastAsia="Arial" w:hAnsi="Arial"/>
          <w:sz w:val="21"/>
          <w:szCs w:val="21"/>
          <w:b w:val="1"/>
          <w:bCs w:val="1"/>
          <w:color w:val="auto"/>
        </w:rPr>
        <w:t>Type of Option</w:t>
      </w:r>
      <w:r>
        <w:rPr>
          <w:rFonts w:ascii="Arial" w:cs="Arial" w:eastAsia="Arial" w:hAnsi="Arial"/>
          <w:sz w:val="21"/>
          <w:szCs w:val="21"/>
          <w:color w:val="auto"/>
        </w:rPr>
        <w:t>. Your Grant Notice specifies the type of Option granted to you, which may be an Incentive Stock Option or</w:t>
      </w:r>
      <w:r>
        <w:rPr>
          <w:rFonts w:ascii="Arial" w:cs="Arial" w:eastAsia="Arial" w:hAnsi="Arial"/>
          <w:sz w:val="21"/>
          <w:szCs w:val="21"/>
          <w:b w:val="1"/>
          <w:bCs w:val="1"/>
          <w:color w:val="auto"/>
        </w:rPr>
        <w:t xml:space="preserve"> </w:t>
      </w:r>
      <w:r>
        <w:rPr>
          <w:rFonts w:ascii="Arial" w:cs="Arial" w:eastAsia="Arial" w:hAnsi="Arial"/>
          <w:sz w:val="21"/>
          <w:szCs w:val="21"/>
          <w:color w:val="auto"/>
        </w:rPr>
        <w:t>a Nonqualified Stock Option, or both. Of the total number of options granted to you, the number of Incentive Stock Options shall be determined in accordance with the limits set forth in the Code and related regulations. Incentive Stock Options are governed by the Code and related regulations as described below:</w:t>
      </w:r>
    </w:p>
    <w:p>
      <w:pPr>
        <w:spacing w:after="0" w:line="178" w:lineRule="exact"/>
        <w:rPr>
          <w:rFonts w:ascii="Arial" w:cs="Arial" w:eastAsia="Arial" w:hAnsi="Arial"/>
          <w:sz w:val="17"/>
          <w:szCs w:val="17"/>
          <w:color w:val="auto"/>
        </w:rPr>
      </w:pPr>
    </w:p>
    <w:p>
      <w:pPr>
        <w:jc w:val="both"/>
        <w:ind w:left="1300" w:hanging="644"/>
        <w:spacing w:after="0" w:line="253" w:lineRule="auto"/>
        <w:tabs>
          <w:tab w:leader="none" w:pos="1300" w:val="left"/>
        </w:tabs>
        <w:numPr>
          <w:ilvl w:val="2"/>
          <w:numId w:val="52"/>
        </w:numPr>
        <w:rPr>
          <w:rFonts w:ascii="Arial" w:cs="Arial" w:eastAsia="Arial" w:hAnsi="Arial"/>
          <w:sz w:val="22"/>
          <w:szCs w:val="22"/>
          <w:color w:val="auto"/>
        </w:rPr>
      </w:pPr>
      <w:r>
        <w:rPr>
          <w:rFonts w:ascii="Arial" w:cs="Arial" w:eastAsia="Arial" w:hAnsi="Arial"/>
          <w:sz w:val="22"/>
          <w:szCs w:val="22"/>
          <w:u w:val="single" w:color="auto"/>
          <w:color w:val="auto"/>
        </w:rPr>
        <w:t>Incentive Stock Option Qualification.</w:t>
      </w:r>
      <w:r>
        <w:rPr>
          <w:rFonts w:ascii="Arial" w:cs="Arial" w:eastAsia="Arial" w:hAnsi="Arial"/>
          <w:sz w:val="22"/>
          <w:szCs w:val="22"/>
          <w:color w:val="auto"/>
        </w:rPr>
        <w:t xml:space="preserve"> If all or a portion of the Option is intended to qualify as an Incentive Stock Option under U.S. federal income tax law, the Company does not represent or guarantee that the Option qualifies as such.</w:t>
      </w:r>
    </w:p>
    <w:p>
      <w:pPr>
        <w:spacing w:after="0" w:line="185" w:lineRule="exact"/>
        <w:rPr>
          <w:rFonts w:ascii="Arial" w:cs="Arial" w:eastAsia="Arial" w:hAnsi="Arial"/>
          <w:sz w:val="22"/>
          <w:szCs w:val="22"/>
          <w:color w:val="auto"/>
        </w:rPr>
      </w:pPr>
    </w:p>
    <w:p>
      <w:pPr>
        <w:jc w:val="both"/>
        <w:ind w:left="1300"/>
        <w:spacing w:after="0" w:line="297" w:lineRule="auto"/>
        <w:rPr>
          <w:rFonts w:ascii="Arial" w:cs="Arial" w:eastAsia="Arial" w:hAnsi="Arial"/>
          <w:sz w:val="22"/>
          <w:szCs w:val="22"/>
          <w:color w:val="auto"/>
        </w:rPr>
      </w:pPr>
      <w:r>
        <w:rPr>
          <w:rFonts w:ascii="Arial" w:cs="Arial" w:eastAsia="Arial" w:hAnsi="Arial"/>
          <w:sz w:val="19"/>
          <w:szCs w:val="19"/>
          <w:color w:val="auto"/>
        </w:rPr>
        <w:t>If the aggregate Fair Market Value (determined as of the Grant Date) of the Shares subject to the Option and all other Incentive Stock Options you hold that first become exercisable during any calendar year exceeds $100,000, any excess portion will be treated as a Nonqualified Stock Option, unless the rules and regulations governing the $100,000 limit for Incentive Stock Options are amended. A portion of the Option may be treated as a Nonqualified Stock Option if certain events cause exercisability of the Option to accelerate.</w:t>
      </w:r>
    </w:p>
    <w:p>
      <w:pPr>
        <w:spacing w:after="0" w:line="147" w:lineRule="exact"/>
        <w:rPr>
          <w:rFonts w:ascii="Arial" w:cs="Arial" w:eastAsia="Arial" w:hAnsi="Arial"/>
          <w:sz w:val="22"/>
          <w:szCs w:val="22"/>
          <w:color w:val="auto"/>
        </w:rPr>
      </w:pPr>
    </w:p>
    <w:p>
      <w:pPr>
        <w:jc w:val="both"/>
        <w:ind w:left="1300" w:right="20" w:hanging="644"/>
        <w:spacing w:after="0" w:line="271" w:lineRule="auto"/>
        <w:tabs>
          <w:tab w:leader="none" w:pos="1300" w:val="left"/>
        </w:tabs>
        <w:numPr>
          <w:ilvl w:val="2"/>
          <w:numId w:val="52"/>
        </w:numPr>
        <w:rPr>
          <w:rFonts w:ascii="Arial" w:cs="Arial" w:eastAsia="Arial" w:hAnsi="Arial"/>
          <w:sz w:val="21"/>
          <w:szCs w:val="21"/>
          <w:color w:val="auto"/>
        </w:rPr>
      </w:pPr>
      <w:r>
        <w:rPr>
          <w:rFonts w:ascii="Arial" w:cs="Arial" w:eastAsia="Arial" w:hAnsi="Arial"/>
          <w:sz w:val="21"/>
          <w:szCs w:val="21"/>
          <w:u w:val="single" w:color="auto"/>
          <w:color w:val="auto"/>
        </w:rPr>
        <w:t>Notice of Disqualifying Disposition.</w:t>
      </w:r>
      <w:r>
        <w:rPr>
          <w:rFonts w:ascii="Arial" w:cs="Arial" w:eastAsia="Arial" w:hAnsi="Arial"/>
          <w:sz w:val="21"/>
          <w:szCs w:val="21"/>
          <w:color w:val="auto"/>
        </w:rPr>
        <w:t xml:space="preserve"> To obtain certain tax benefits afforded to Incentive Stock Options, you must hold the Shares issued upon the exercise of the Option for two years after the Grant Date and one year after the date of exercise. You may be subject to the alternative minimum tax at the time of exercise.</w:t>
      </w:r>
    </w:p>
    <w:p>
      <w:pPr>
        <w:sectPr>
          <w:pgSz w:w="11900" w:h="16838" w:orient="portrait"/>
          <w:cols w:equalWidth="0" w:num="1">
            <w:col w:w="11420"/>
          </w:cols>
          <w:pgMar w:left="240" w:top="585" w:right="239" w:bottom="1440" w:gutter="0" w:footer="0" w:header="0"/>
        </w:sectPr>
      </w:pPr>
    </w:p>
    <w:bookmarkStart w:id="114" w:name="page115"/>
    <w:bookmarkEnd w:id="114"/>
    <w:p>
      <w:pPr>
        <w:jc w:val="both"/>
        <w:ind w:left="1300"/>
        <w:spacing w:after="0" w:line="253" w:lineRule="auto"/>
        <w:rPr>
          <w:sz w:val="20"/>
          <w:szCs w:val="20"/>
          <w:color w:val="auto"/>
        </w:rPr>
      </w:pPr>
      <w:r>
        <w:rPr>
          <w:rFonts w:ascii="Arial" w:cs="Arial" w:eastAsia="Arial" w:hAnsi="Arial"/>
          <w:sz w:val="22"/>
          <w:szCs w:val="22"/>
          <w:b w:val="1"/>
          <w:bCs w:val="1"/>
          <w:i w:val="1"/>
          <w:iCs w:val="1"/>
          <w:color w:val="auto"/>
        </w:rPr>
        <w:t>By accepting the Incentive Stock Option, you agree to promptly notify the Company if you dispose of any of the Shares within one year from the date you exercise all or part of your Option or within two years from the Grant Date.</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The Company is not providing any tax, legal or financial advice, nor is the Company making any recommendations regarding your participation in the Plan or your acquisition or sale of the Shares underlying the Option.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Option and the acquisition or disposition of any Shares to be issued pursuant to the exercise of the Option in light of your specific situation or had the opportunity to consult with such advisors but chose not to do so.</w:t>
      </w:r>
    </w:p>
    <w:p>
      <w:pPr>
        <w:spacing w:after="0" w:line="3" w:lineRule="exact"/>
        <w:rPr>
          <w:sz w:val="20"/>
          <w:szCs w:val="20"/>
          <w:color w:val="auto"/>
        </w:rPr>
      </w:pPr>
    </w:p>
    <w:p>
      <w:pPr>
        <w:ind w:left="660" w:hanging="328"/>
        <w:spacing w:after="0" w:line="24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22"/>
          <w:szCs w:val="22"/>
          <w:b w:val="1"/>
          <w:bCs w:val="1"/>
          <w:color w:val="auto"/>
        </w:rPr>
        <w:t>Method of Exercise</w:t>
      </w:r>
      <w:r>
        <w:rPr>
          <w:rFonts w:ascii="Arial" w:cs="Arial" w:eastAsia="Arial" w:hAnsi="Arial"/>
          <w:sz w:val="22"/>
          <w:szCs w:val="22"/>
          <w:color w:val="auto"/>
        </w:rPr>
        <w:t>. You may exercise the Option upon notice and payment of the Grant Price by any of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methods, unless disallowed by law:</w:t>
      </w:r>
    </w:p>
    <w:p>
      <w:pPr>
        <w:spacing w:after="0" w:line="192" w:lineRule="exact"/>
        <w:rPr>
          <w:rFonts w:ascii="Arial" w:cs="Arial" w:eastAsia="Arial" w:hAnsi="Arial"/>
          <w:sz w:val="18"/>
          <w:szCs w:val="18"/>
          <w:color w:val="auto"/>
        </w:rPr>
      </w:pPr>
    </w:p>
    <w:p>
      <w:pPr>
        <w:ind w:left="1080" w:hanging="424"/>
        <w:spacing w:after="0"/>
        <w:tabs>
          <w:tab w:leader="none" w:pos="10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broker assisted exercise; or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Shares already owned by you.</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You may elect to receive the proceeds of the exercise in either cash or Shares; </w:t>
      </w:r>
      <w:r>
        <w:rPr>
          <w:rFonts w:ascii="Arial" w:cs="Arial" w:eastAsia="Arial" w:hAnsi="Arial"/>
          <w:sz w:val="22"/>
          <w:szCs w:val="22"/>
          <w:i w:val="1"/>
          <w:iCs w:val="1"/>
          <w:u w:val="single" w:color="auto"/>
          <w:color w:val="auto"/>
        </w:rPr>
        <w:t>provided, however</w:t>
      </w:r>
      <w:r>
        <w:rPr>
          <w:rFonts w:ascii="Arial" w:cs="Arial" w:eastAsia="Arial" w:hAnsi="Arial"/>
          <w:sz w:val="22"/>
          <w:szCs w:val="22"/>
          <w:color w:val="auto"/>
        </w:rPr>
        <w:t>, that if your Option is an Incentive Stock Option and you take the proceeds of its exercise in cash, you may not receive the benefit of the intended tax treatment of your Incentive Stock Option, as explained above in Section 3(b).</w:t>
      </w:r>
    </w:p>
    <w:p>
      <w:pPr>
        <w:spacing w:after="0" w:line="180" w:lineRule="exact"/>
        <w:rPr>
          <w:sz w:val="20"/>
          <w:szCs w:val="20"/>
          <w:color w:val="auto"/>
        </w:rPr>
      </w:pPr>
    </w:p>
    <w:p>
      <w:pPr>
        <w:ind w:firstLine="8"/>
        <w:spacing w:after="0" w:line="282" w:lineRule="auto"/>
        <w:tabs>
          <w:tab w:leader="none" w:pos="383"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Term of Option</w:t>
      </w:r>
      <w:r>
        <w:rPr>
          <w:rFonts w:ascii="Arial" w:cs="Arial" w:eastAsia="Arial" w:hAnsi="Arial"/>
          <w:sz w:val="22"/>
          <w:szCs w:val="22"/>
          <w:color w:val="auto"/>
        </w:rPr>
        <w:t>. This Option shall expire ten years from the Grant Date thereof, but shall be subject to earlier termination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5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Unvested Options.</w:t>
      </w:r>
      <w:r>
        <w:rPr>
          <w:rFonts w:ascii="Arial" w:cs="Arial" w:eastAsia="Arial" w:hAnsi="Arial"/>
          <w:sz w:val="22"/>
          <w:szCs w:val="22"/>
          <w:color w:val="auto"/>
        </w:rPr>
        <w:t xml:space="preserve"> In the event you cease to be an employee of the Company or a Related Corporation for any reason, the unvested portion of the Option shall terminate immediately.</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Vested Options.</w:t>
      </w:r>
    </w:p>
    <w:p>
      <w:pPr>
        <w:spacing w:after="0" w:line="233" w:lineRule="exact"/>
        <w:rPr>
          <w:rFonts w:ascii="Arial" w:cs="Arial" w:eastAsia="Arial" w:hAnsi="Arial"/>
          <w:sz w:val="22"/>
          <w:szCs w:val="22"/>
          <w:color w:val="auto"/>
        </w:rPr>
      </w:pPr>
    </w:p>
    <w:p>
      <w:pPr>
        <w:jc w:val="both"/>
        <w:ind w:left="1300" w:firstLine="5"/>
        <w:spacing w:after="0" w:line="307" w:lineRule="auto"/>
        <w:tabs>
          <w:tab w:leader="none" w:pos="1886" w:val="left"/>
        </w:tabs>
        <w:numPr>
          <w:ilvl w:val="2"/>
          <w:numId w:val="5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In the event you cease to be an employee of the Company or a Related Corporation for any reason other than death, Disability, Retirement (as defined below) or Cause, the vested portion of the Option shall remain exercisable until the earlier of (A) 90 days after the date you cease to be an employee of the Company or a Related Corporation or (B) the date on which the Option expires by its terms.</w:t>
      </w:r>
    </w:p>
    <w:p>
      <w:pPr>
        <w:spacing w:after="0" w:line="138" w:lineRule="exact"/>
        <w:rPr>
          <w:rFonts w:ascii="Arial" w:cs="Arial" w:eastAsia="Arial" w:hAnsi="Arial"/>
          <w:sz w:val="19"/>
          <w:szCs w:val="19"/>
          <w:color w:val="auto"/>
        </w:rPr>
      </w:pPr>
    </w:p>
    <w:p>
      <w:pPr>
        <w:jc w:val="both"/>
        <w:ind w:left="1300" w:firstLine="5"/>
        <w:spacing w:after="0" w:line="248" w:lineRule="auto"/>
        <w:tabs>
          <w:tab w:leader="none" w:pos="1838" w:val="left"/>
        </w:tabs>
        <w:numPr>
          <w:ilvl w:val="2"/>
          <w:numId w:val="54"/>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In the event of your death or Disability while an employee of the Company or a Related Corporation, the vested portion of the Option (including any portion of the Option that vests in the event of your death or Disability while an employee of the Company or a Related Corporation, as described in Section 1 above) shall remain exercisable until the earlier of (A) one year following the date of death or Disability or (B) the date on which the Option expires by its terms. Upon death, the vested and exercisable portion of the Option may be exercised by the personal representative of your estate, the person(s) to whom your rights under the Option have passed by will or the applicable laws of descent and distribution, or the beneficiary you have designated pursuant to the Plan.</w:t>
      </w:r>
    </w:p>
    <w:p>
      <w:pPr>
        <w:spacing w:after="0" w:line="191" w:lineRule="exact"/>
        <w:rPr>
          <w:rFonts w:ascii="Arial" w:cs="Arial" w:eastAsia="Arial" w:hAnsi="Arial"/>
          <w:sz w:val="22"/>
          <w:szCs w:val="22"/>
          <w:color w:val="auto"/>
        </w:rPr>
      </w:pPr>
    </w:p>
    <w:p>
      <w:pPr>
        <w:jc w:val="both"/>
        <w:ind w:left="1300" w:firstLine="5"/>
        <w:spacing w:after="0" w:line="260" w:lineRule="auto"/>
        <w:tabs>
          <w:tab w:leader="none" w:pos="1939" w:val="left"/>
        </w:tabs>
        <w:numPr>
          <w:ilvl w:val="2"/>
          <w:numId w:val="54"/>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In the event you cease to be an employee of the Company or a Related Corporation due to Retirement, the vested portion of the Option shall remain exercisable until the earlier of (A) three years following the date of Retirement or (B) the date on which the</w:t>
      </w:r>
    </w:p>
    <w:p>
      <w:pPr>
        <w:sectPr>
          <w:pgSz w:w="11900" w:h="16838" w:orient="portrait"/>
          <w:cols w:equalWidth="0" w:num="1">
            <w:col w:w="11420"/>
          </w:cols>
          <w:pgMar w:left="240" w:top="807" w:right="239" w:bottom="1440" w:gutter="0" w:footer="0" w:header="0"/>
        </w:sectPr>
      </w:pPr>
    </w:p>
    <w:bookmarkStart w:id="115" w:name="page116"/>
    <w:bookmarkEnd w:id="115"/>
    <w:p>
      <w:pPr>
        <w:jc w:val="both"/>
        <w:ind w:left="1300"/>
        <w:spacing w:after="0" w:line="253" w:lineRule="auto"/>
        <w:rPr>
          <w:sz w:val="20"/>
          <w:szCs w:val="20"/>
          <w:color w:val="auto"/>
        </w:rPr>
      </w:pPr>
      <w:r>
        <w:rPr>
          <w:rFonts w:ascii="Arial" w:cs="Arial" w:eastAsia="Arial" w:hAnsi="Arial"/>
          <w:sz w:val="22"/>
          <w:szCs w:val="22"/>
          <w:color w:val="auto"/>
        </w:rPr>
        <w:t>Option expires by its terms. For purposes of this Stock Option Agreement, “Retirement” means retirement on or after the earlier of (i) age 65 or (ii) age 55 plus ten years of employment with the Company and/or a Related Corporation.</w:t>
      </w:r>
    </w:p>
    <w:p>
      <w:pPr>
        <w:spacing w:after="0" w:line="186" w:lineRule="exact"/>
        <w:rPr>
          <w:sz w:val="20"/>
          <w:szCs w:val="20"/>
          <w:color w:val="auto"/>
        </w:rPr>
      </w:pPr>
    </w:p>
    <w:p>
      <w:pPr>
        <w:jc w:val="both"/>
        <w:ind w:left="1300" w:firstLine="5"/>
        <w:spacing w:after="0" w:line="264" w:lineRule="auto"/>
        <w:tabs>
          <w:tab w:leader="none" w:pos="1819"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xml:space="preserve"> The unvested and vested portion of the Option will automatically expire at the time the Company first notifies you of your termination of employment for Cause, unless the Plan Administrator determines otherwise. If your employment relationship is suspended pending an investigation of whether you will be terminated for Cause, all your rights under the Option likewise will be suspended during the period of investigation. If any facts that would constitute termination for Cause are discovered after your termination of employment, any Option you then hold may be immediately terminated by the Plan Administrator.</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Notwithstanding anything to the contrary contained herein, if your Option is an Incentive Stock Option and assuming it does not otherwise expire by its terms, to qualify for the beneficial tax treatment afforded Incentive Stock Options, your Option must be exercised within (i) three months after termination of employment for reasons other than death or Disability, and (ii) one year after termination of employment due to death or Disability.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It is your responsibility to be aware of the date the Option terminates.</w:t>
      </w:r>
    </w:p>
    <w:p>
      <w:pPr>
        <w:spacing w:after="0" w:line="214" w:lineRule="exact"/>
        <w:rPr>
          <w:sz w:val="20"/>
          <w:szCs w:val="20"/>
          <w:color w:val="auto"/>
        </w:rPr>
      </w:pPr>
    </w:p>
    <w:p>
      <w:pPr>
        <w:jc w:val="both"/>
        <w:ind w:firstLine="8"/>
        <w:spacing w:after="0" w:line="323" w:lineRule="auto"/>
        <w:tabs>
          <w:tab w:leader="none" w:pos="356"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Limited Transferability</w:t>
      </w:r>
      <w:r>
        <w:rPr>
          <w:rFonts w:ascii="Arial" w:cs="Arial" w:eastAsia="Arial" w:hAnsi="Arial"/>
          <w:sz w:val="19"/>
          <w:szCs w:val="19"/>
          <w:color w:val="auto"/>
        </w:rPr>
        <w:t>. During your lifetime only you can exercise the Option. The Option is not transferable except by will</w:t>
      </w:r>
      <w:r>
        <w:rPr>
          <w:rFonts w:ascii="Arial" w:cs="Arial" w:eastAsia="Arial" w:hAnsi="Arial"/>
          <w:sz w:val="19"/>
          <w:szCs w:val="19"/>
          <w:b w:val="1"/>
          <w:bCs w:val="1"/>
          <w:color w:val="auto"/>
        </w:rPr>
        <w:t xml:space="preserve"> </w:t>
      </w:r>
      <w:r>
        <w:rPr>
          <w:rFonts w:ascii="Arial" w:cs="Arial" w:eastAsia="Arial" w:hAnsi="Arial"/>
          <w:sz w:val="19"/>
          <w:szCs w:val="19"/>
          <w:color w:val="auto"/>
        </w:rPr>
        <w:t>or by the applicable laws of descent and distribution, except to the extent permitted by the Plan Administrator. The Plan provides for exercise of the Option by a beneficiary designated on a Company-approved form or the personal representative of your estate.</w:t>
      </w:r>
    </w:p>
    <w:p>
      <w:pPr>
        <w:spacing w:after="0" w:line="117" w:lineRule="exact"/>
        <w:rPr>
          <w:rFonts w:ascii="Arial" w:cs="Arial" w:eastAsia="Arial" w:hAnsi="Arial"/>
          <w:sz w:val="19"/>
          <w:szCs w:val="19"/>
          <w:color w:val="auto"/>
        </w:rPr>
      </w:pPr>
    </w:p>
    <w:p>
      <w:pPr>
        <w:jc w:val="both"/>
        <w:ind w:firstLine="8"/>
        <w:spacing w:after="0" w:line="290" w:lineRule="auto"/>
        <w:tabs>
          <w:tab w:leader="none" w:pos="437"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Regardless of any action the Company (or your employer, if different) takes with respect to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income or withholding tax (including federal, state, local and non-U.S. tax), social insurance, payroll tax or other tax-related items related to your participation in the Plan and legally applicable to you ("Tax-Related Items"), you acknowledge that the ultimate liability for all Tax-Related Items is and remains your responsibility and may exceed the amount, if any, actually withheld by the Company. You further acknowledge that the Company (a) makes no representations or undertakings regarding the treatment of any Tax-Related Items in connection with any aspect of the Option, including the grant, vesting or exercise of the Option, the subsequent sale of Shares acquired pursuant to such exercise and the receipt of any dividends; and (b) does not commit to and is under no obligation to structure the terms of the grant or any aspect of this Option to reduce or eliminate your liability for Tax-Related Items or achieve any particular tax result. Further, if you have become subject to tax in more than one jurisdiction between the Grant Date and the date of any taxable or tax withholding event, as applicable, you acknowledge that the Company may be required to withhold or account for Tax-Related Items in more than one jurisdiction.</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Prior to any relevant taxable or tax withholding event, as applicable, you shall pay or make adequate arrangements satisfactory to the Company to satisfy all Tax-Related Items. In this regard, you authorize the Company or its agent, at the Company's discretion, to satisfy the obligations with regard to all Tax-Related Items by one or a combination of the following methods:</w:t>
      </w:r>
    </w:p>
    <w:p>
      <w:pPr>
        <w:spacing w:after="0" w:line="1" w:lineRule="exact"/>
        <w:rPr>
          <w:sz w:val="20"/>
          <w:szCs w:val="20"/>
          <w:color w:val="auto"/>
        </w:rPr>
      </w:pPr>
    </w:p>
    <w:p>
      <w:pPr>
        <w:ind w:left="340" w:hanging="332"/>
        <w:spacing w:after="0" w:line="24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22"/>
          <w:szCs w:val="22"/>
          <w:color w:val="auto"/>
        </w:rPr>
        <w:t>withholding from wages or other cash compensation otherwise payable to you by the Company or your employer (if different), and/or</w:t>
      </w:r>
    </w:p>
    <w:p>
      <w:pPr>
        <w:ind w:left="340" w:right="20" w:hanging="332"/>
        <w:spacing w:after="0" w:line="255"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21"/>
          <w:szCs w:val="21"/>
          <w:color w:val="auto"/>
        </w:rPr>
        <w:t>withholding from the proceeds of the sale of Shares acquired upon exercise of the Option, either through a voluntary sale or through a mandatory sale arranged by the Company (on your behalf pursuant to this authorization); and/or</w:t>
      </w:r>
    </w:p>
    <w:p>
      <w:pPr>
        <w:ind w:left="340" w:hanging="332"/>
        <w:spacing w:after="0" w:line="246"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22"/>
          <w:szCs w:val="22"/>
          <w:color w:val="auto"/>
        </w:rPr>
        <w:t>withholding in Shares to be issued upon exercise of the Option, provided, however, that if you are a Section 16 officer of the Company under the Exchange Act, then the Plan Administrator (as constituted</w:t>
      </w:r>
    </w:p>
    <w:p>
      <w:pPr>
        <w:sectPr>
          <w:pgSz w:w="11900" w:h="16838" w:orient="portrait"/>
          <w:cols w:equalWidth="0" w:num="1">
            <w:col w:w="11420"/>
          </w:cols>
          <w:pgMar w:left="240" w:top="807" w:right="239" w:bottom="1440" w:gutter="0" w:footer="0" w:header="0"/>
        </w:sectPr>
      </w:pPr>
    </w:p>
    <w:bookmarkStart w:id="116" w:name="page117"/>
    <w:bookmarkEnd w:id="116"/>
    <w:p>
      <w:pPr>
        <w:jc w:val="both"/>
        <w:ind w:left="340"/>
        <w:spacing w:after="0" w:line="253" w:lineRule="auto"/>
        <w:rPr>
          <w:sz w:val="20"/>
          <w:szCs w:val="20"/>
          <w:color w:val="auto"/>
        </w:rPr>
      </w:pPr>
      <w:r>
        <w:rPr>
          <w:rFonts w:ascii="Arial" w:cs="Arial" w:eastAsia="Arial" w:hAnsi="Arial"/>
          <w:sz w:val="22"/>
          <w:szCs w:val="22"/>
          <w:color w:val="auto"/>
        </w:rPr>
        <w:t>to satisfy Rule 16b-3 of the Exchange Act) shall establish the method of withholding from the alternatives herein and, if the Plan Administrator does not exercise its discretion prior to the Tax-Related Items withholding event, then you shall be entitled to elect the method of withholding from the alternatives herein.</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in Shares. If the obligation for Tax-Related Items is satisfied by withholding in Shares, for tax purposes, you will be deemed to have been issued the full number of Shares subject to the exercised portion of the Option, notwithstanding that a number of the Shares are held back solely for the purpose of paying the Tax-Related Items due as a result of any aspect of your participation in the Plan.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may refuse to honor the exercise and refuse to deliver the Shares if you fail to comply with your obligations in connection with the Tax-Related Items as described in this section.</w:t>
      </w:r>
    </w:p>
    <w:p>
      <w:pPr>
        <w:spacing w:after="0" w:line="169" w:lineRule="exact"/>
        <w:rPr>
          <w:sz w:val="20"/>
          <w:szCs w:val="20"/>
          <w:color w:val="auto"/>
        </w:rPr>
      </w:pPr>
    </w:p>
    <w:p>
      <w:pPr>
        <w:jc w:val="both"/>
        <w:ind w:firstLine="8"/>
        <w:spacing w:after="0" w:line="295" w:lineRule="auto"/>
        <w:tabs>
          <w:tab w:leader="none" w:pos="356"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The Company reserves the right, to the extent the Company deems necessary or advisable in its sole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to unilaterally amend or modify the Plan, this Stock Option Agreement or the Grant Notice or adopt other policies and procedures (including amendments, policies and procedures with retroactive effect), or take any other actions, as the Plan Administrator determines are necessary or appropriate to ensure that this Option qualifies for exemption from, or complies with the requirements of, Section 409A of the Code; provided, however, that the Company makes no representation that the Option will be exempt from or will comply with, Section 409A of the Code, and makes no undertaking to preclude Section 409A of the Code from applying to the Option or to ensure that it complies with Section 409A of the Code.</w:t>
      </w:r>
    </w:p>
    <w:p>
      <w:pPr>
        <w:spacing w:after="0" w:line="145" w:lineRule="exact"/>
        <w:rPr>
          <w:rFonts w:ascii="Arial" w:cs="Arial" w:eastAsia="Arial" w:hAnsi="Arial"/>
          <w:sz w:val="19"/>
          <w:szCs w:val="19"/>
          <w:color w:val="auto"/>
        </w:rPr>
      </w:pPr>
    </w:p>
    <w:p>
      <w:pPr>
        <w:jc w:val="both"/>
        <w:ind w:firstLine="8"/>
        <w:spacing w:after="0" w:line="262" w:lineRule="auto"/>
        <w:tabs>
          <w:tab w:leader="none" w:pos="369"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 xml:space="preserve">Option Not an Employment or Service Contract. </w:t>
      </w:r>
      <w:r>
        <w:rPr>
          <w:rFonts w:ascii="Arial" w:cs="Arial" w:eastAsia="Arial" w:hAnsi="Arial"/>
          <w:sz w:val="22"/>
          <w:szCs w:val="22"/>
          <w:color w:val="auto"/>
        </w:rPr>
        <w:t>Nothing in the Plan or any award under the Plan will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contract or limit in any way the right of the Company to terminate your employment at any time, with or without cause.</w:t>
      </w:r>
    </w:p>
    <w:p>
      <w:pPr>
        <w:spacing w:after="0" w:line="170" w:lineRule="exact"/>
        <w:rPr>
          <w:rFonts w:ascii="Arial" w:cs="Arial" w:eastAsia="Arial" w:hAnsi="Arial"/>
          <w:sz w:val="22"/>
          <w:szCs w:val="22"/>
          <w:color w:val="auto"/>
        </w:rPr>
      </w:pPr>
    </w:p>
    <w:p>
      <w:pPr>
        <w:ind w:firstLine="8"/>
        <w:spacing w:after="0" w:line="282" w:lineRule="auto"/>
        <w:tabs>
          <w:tab w:leader="none" w:pos="545"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This Agreement will inure to the benefit of the successors and assigns of the Company and be</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upon you and your heirs, executors, administrators, successors and assigns.</w:t>
      </w:r>
    </w:p>
    <w:p>
      <w:pPr>
        <w:spacing w:after="0" w:line="148" w:lineRule="exact"/>
        <w:rPr>
          <w:rFonts w:ascii="Arial" w:cs="Arial" w:eastAsia="Arial" w:hAnsi="Arial"/>
          <w:sz w:val="22"/>
          <w:szCs w:val="22"/>
          <w:color w:val="auto"/>
        </w:rPr>
      </w:pPr>
    </w:p>
    <w:p>
      <w:pPr>
        <w:jc w:val="both"/>
        <w:ind w:firstLine="8"/>
        <w:spacing w:after="0" w:line="309" w:lineRule="auto"/>
        <w:tabs>
          <w:tab w:leader="none" w:pos="537"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You hereby explicitly and unambiguously consent to the collection, use and transfer, in electronic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form, of your personal data as described in the Grant Notice by and among, as applicable, the Company and its Related Corporations and any stock plan service provider, including any designated broker, that may assist the Company with the Plan (presently or in the future) for the exclusive purpose of implementing, administering and managing your participation in the Plan.</w:t>
      </w:r>
    </w:p>
    <w:p>
      <w:pPr>
        <w:spacing w:after="0" w:line="130" w:lineRule="exact"/>
        <w:rPr>
          <w:rFonts w:ascii="Arial" w:cs="Arial" w:eastAsia="Arial" w:hAnsi="Arial"/>
          <w:sz w:val="19"/>
          <w:szCs w:val="19"/>
          <w:color w:val="auto"/>
        </w:rPr>
      </w:pPr>
    </w:p>
    <w:p>
      <w:pPr>
        <w:jc w:val="both"/>
        <w:ind w:firstLine="8"/>
        <w:spacing w:after="0" w:line="256" w:lineRule="auto"/>
        <w:tabs>
          <w:tab w:leader="none" w:pos="477"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 xml:space="preserve">Electronic Delivery and Participation. </w:t>
      </w:r>
      <w:r>
        <w:rPr>
          <w:rFonts w:ascii="Arial" w:cs="Arial" w:eastAsia="Arial" w:hAnsi="Arial"/>
          <w:sz w:val="22"/>
          <w:szCs w:val="22"/>
          <w:color w:val="auto"/>
        </w:rPr>
        <w:t>The Company may, in its sole discretion, decide to deliver any documents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ectPr>
          <w:pgSz w:w="11900" w:h="16838" w:orient="portrait"/>
          <w:cols w:equalWidth="0" w:num="1">
            <w:col w:w="11420"/>
          </w:cols>
          <w:pgMar w:left="240" w:top="591" w:right="239" w:bottom="1440" w:gutter="0" w:footer="0" w:header="0"/>
        </w:sectPr>
      </w:pPr>
    </w:p>
    <w:bookmarkStart w:id="117" w:name="page118"/>
    <w:bookmarkEnd w:id="117"/>
    <w:p>
      <w:pPr>
        <w:jc w:val="both"/>
        <w:ind w:firstLine="8"/>
        <w:spacing w:after="0" w:line="262" w:lineRule="auto"/>
        <w:tabs>
          <w:tab w:leader="none" w:pos="572"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If you relocate to another country, any special terms and conditions applicable to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options granted in such country will apply to you, to the extent the Company determines that the application of such terms and conditions is necessary or advisable for legal or administrative reasons.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Company reserves the right to impose other requirements on the Option and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2" w:lineRule="exact"/>
        <w:rPr>
          <w:sz w:val="20"/>
          <w:szCs w:val="20"/>
          <w:color w:val="auto"/>
        </w:rPr>
      </w:pPr>
    </w:p>
    <w:p>
      <w:pPr>
        <w:jc w:val="both"/>
        <w:ind w:firstLine="8"/>
        <w:spacing w:after="0" w:line="248" w:lineRule="auto"/>
        <w:tabs>
          <w:tab w:leader="none" w:pos="324"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Governing Law and Choice of Venue</w:t>
      </w:r>
      <w:r>
        <w:rPr>
          <w:rFonts w:ascii="Arial" w:cs="Arial" w:eastAsia="Arial" w:hAnsi="Arial"/>
          <w:sz w:val="22"/>
          <w:szCs w:val="22"/>
          <w:color w:val="auto"/>
        </w:rPr>
        <w:t>. The Option and the provisions of this Agreement will be construed and administered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87" w:lineRule="exact"/>
        <w:rPr>
          <w:rFonts w:ascii="Arial" w:cs="Arial" w:eastAsia="Arial" w:hAnsi="Arial"/>
          <w:sz w:val="22"/>
          <w:szCs w:val="22"/>
          <w:color w:val="auto"/>
        </w:rPr>
      </w:pPr>
    </w:p>
    <w:p>
      <w:pPr>
        <w:ind w:right="20" w:firstLine="8"/>
        <w:spacing w:after="0" w:line="350" w:lineRule="auto"/>
        <w:tabs>
          <w:tab w:leader="none" w:pos="324"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92" w:lineRule="exact"/>
        <w:rPr>
          <w:rFonts w:ascii="Arial" w:cs="Arial" w:eastAsia="Arial" w:hAnsi="Arial"/>
          <w:sz w:val="19"/>
          <w:szCs w:val="19"/>
          <w:color w:val="auto"/>
        </w:rPr>
      </w:pPr>
    </w:p>
    <w:p>
      <w:pPr>
        <w:ind w:left="520" w:hanging="512"/>
        <w:spacing w:after="0"/>
        <w:tabs>
          <w:tab w:leader="none" w:pos="52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Any notice required or permitted hereunder shall be made in writing and sent to the following address:</w:t>
      </w:r>
    </w:p>
    <w:p>
      <w:pPr>
        <w:spacing w:after="0" w:line="28"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Itron, Inc.</w:t>
      </w:r>
    </w:p>
    <w:p>
      <w:pPr>
        <w:spacing w:after="0" w:line="17"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Liberty Lake, WA USA 99019</w:t>
      </w:r>
    </w:p>
    <w:p>
      <w:pPr>
        <w:sectPr>
          <w:pgSz w:w="11900" w:h="16838" w:orient="portrait"/>
          <w:cols w:equalWidth="0" w:num="1">
            <w:col w:w="11420"/>
          </w:cols>
          <w:pgMar w:left="240" w:top="801"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REGISTRANT AT DECEMBER 31, 2012</w:t>
            </w:r>
          </w:p>
        </w:tc>
        <w:tc>
          <w:tcPr>
            <w:tcW w:w="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0" w:type="dxa"/>
            <w:vAlign w:val="bottom"/>
          </w:tcPr>
          <w:p>
            <w:pPr>
              <w:ind w:left="1860"/>
              <w:spacing w:after="0"/>
              <w:rPr>
                <w:sz w:val="20"/>
                <w:szCs w:val="20"/>
                <w:color w:val="auto"/>
              </w:rPr>
            </w:pPr>
            <w:r>
              <w:rPr>
                <w:rFonts w:ascii="Arial" w:cs="Arial" w:eastAsia="Arial" w:hAnsi="Arial"/>
                <w:sz w:val="18"/>
                <w:szCs w:val="18"/>
                <w:b w:val="1"/>
                <w:bCs w:val="1"/>
                <w:color w:val="auto"/>
                <w:w w:val="91"/>
              </w:rPr>
              <w:t>Exhibit 21.1</w:t>
            </w:r>
          </w:p>
        </w:tc>
      </w:tr>
      <w:tr>
        <w:trPr>
          <w:trHeight w:val="554"/>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Itron, Inc. Domestic Subsidiaries</w:t>
            </w:r>
          </w:p>
        </w:tc>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of Incorporation</w:t>
            </w:r>
          </w:p>
        </w:tc>
        <w:tc>
          <w:tcPr>
            <w:tcW w:w="2800" w:type="dxa"/>
            <w:vAlign w:val="bottom"/>
          </w:tcPr>
          <w:p>
            <w:pPr>
              <w:spacing w:after="0"/>
              <w:rPr>
                <w:sz w:val="24"/>
                <w:szCs w:val="24"/>
                <w:color w:val="auto"/>
              </w:rPr>
            </w:pPr>
          </w:p>
        </w:tc>
      </w:tr>
      <w:tr>
        <w:trPr>
          <w:trHeight w:val="291"/>
        </w:trPr>
        <w:tc>
          <w:tcPr>
            <w:tcW w:w="6060" w:type="dxa"/>
            <w:vAlign w:val="bottom"/>
            <w:gridSpan w:val="2"/>
          </w:tcPr>
          <w:p>
            <w:pPr>
              <w:spacing w:after="0"/>
              <w:rPr>
                <w:sz w:val="20"/>
                <w:szCs w:val="20"/>
                <w:color w:val="auto"/>
              </w:rPr>
            </w:pPr>
            <w:r>
              <w:rPr>
                <w:rFonts w:ascii="Arial" w:cs="Arial" w:eastAsia="Arial" w:hAnsi="Arial"/>
                <w:sz w:val="18"/>
                <w:szCs w:val="18"/>
                <w:color w:val="auto"/>
              </w:rPr>
              <w:t>Itron, International, Inc.</w:t>
            </w:r>
          </w:p>
        </w:tc>
        <w:tc>
          <w:tcPr>
            <w:tcW w:w="5300" w:type="dxa"/>
            <w:vAlign w:val="bottom"/>
            <w:gridSpan w:val="3"/>
          </w:tcPr>
          <w:p>
            <w:pPr>
              <w:ind w:left="78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Itron US Gas LLC</w:t>
            </w:r>
          </w:p>
        </w:tc>
        <w:tc>
          <w:tcPr>
            <w:tcW w:w="5300" w:type="dxa"/>
            <w:vAlign w:val="bottom"/>
            <w:gridSpan w:val="3"/>
          </w:tcPr>
          <w:p>
            <w:pPr>
              <w:ind w:left="78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Itron Brazil I, LLC</w:t>
            </w:r>
          </w:p>
        </w:tc>
        <w:tc>
          <w:tcPr>
            <w:tcW w:w="5300" w:type="dxa"/>
            <w:vAlign w:val="bottom"/>
            <w:gridSpan w:val="3"/>
          </w:tcPr>
          <w:p>
            <w:pPr>
              <w:ind w:left="780"/>
              <w:spacing w:after="0"/>
              <w:rPr>
                <w:sz w:val="20"/>
                <w:szCs w:val="20"/>
                <w:color w:val="auto"/>
              </w:rPr>
            </w:pPr>
            <w:r>
              <w:rPr>
                <w:rFonts w:ascii="Arial" w:cs="Arial" w:eastAsia="Arial" w:hAnsi="Arial"/>
                <w:sz w:val="18"/>
                <w:szCs w:val="18"/>
                <w:color w:val="auto"/>
              </w:rPr>
              <w:t>Washington</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Itron Brazil II, LLC</w:t>
            </w:r>
          </w:p>
        </w:tc>
        <w:tc>
          <w:tcPr>
            <w:tcW w:w="5300" w:type="dxa"/>
            <w:vAlign w:val="bottom"/>
            <w:gridSpan w:val="3"/>
          </w:tcPr>
          <w:p>
            <w:pPr>
              <w:ind w:left="780"/>
              <w:spacing w:after="0"/>
              <w:rPr>
                <w:sz w:val="20"/>
                <w:szCs w:val="20"/>
                <w:color w:val="auto"/>
              </w:rPr>
            </w:pPr>
            <w:r>
              <w:rPr>
                <w:rFonts w:ascii="Arial" w:cs="Arial" w:eastAsia="Arial" w:hAnsi="Arial"/>
                <w:sz w:val="18"/>
                <w:szCs w:val="18"/>
                <w:color w:val="auto"/>
              </w:rPr>
              <w:t>Washington</w:t>
            </w: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720" w:type="dxa"/>
            <w:vAlign w:val="bottom"/>
            <w:gridSpan w:val="2"/>
          </w:tcPr>
          <w:p>
            <w:pPr>
              <w:ind w:left="120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91"/>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Itron Argentina S.A.</w:t>
            </w:r>
          </w:p>
        </w:tc>
        <w:tc>
          <w:tcPr>
            <w:tcW w:w="2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Argentina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Itron-Australasia Pty Limited</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Australia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Australasia Holdings Pty Limited</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Australia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Australasia Technologies Pty Limited</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Australia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Actaris Pty Ltd</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Australia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Austria GmbH</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Austria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Holding Belgium SPRL</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Belgium</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Management Services SA</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Belgium</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Contigea SA</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Belgium</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Sistemas e Tecnologia Ltda</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Brazil</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Soluções para Energia e Àgua Ltda.</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Brazil</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China Gas Holding Co. Ltd. (J.V. Majority)</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British Virgin Islands</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Canada, Inc.</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Canada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Compañía Chilena de Medición S.A.</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Chile</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Metering Systems (Chongqing) Co., Ltd. (J.V. Majority)</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China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Metering Systems (Suzhou) Co., Ltd.</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China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Czech Republic s.r.o.</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Czech Republic</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Asais</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France</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Asais Conseil</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France</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France S.A.S.</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France</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Holding France S.A.S.</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France</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Holding Germany GmbH</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GmbH</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Zähler &amp; Systemtechnik GmbH</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Unterstutzungskasse GmbH</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Allmess GmbH</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Unterstutzungseinrichtung GmbH</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SEWA GmbH</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Thielmann Energietechnik GmbH</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Germany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Holding Hungary</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Hungary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Ganz Meter Company Ltd.</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Hungary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India Private Limited</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India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Metering Solutions India Private Limited</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India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PT Mecoindo (J.V.)</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Indonesia</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Italia SpA</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Italy</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Metering Solutions Luxembourg</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Luxembourg</w:t>
            </w: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Itron Luxembourg</w:t>
            </w:r>
          </w:p>
        </w:tc>
        <w:tc>
          <w:tcPr>
            <w:tcW w:w="4720" w:type="dxa"/>
            <w:vAlign w:val="bottom"/>
            <w:gridSpan w:val="2"/>
          </w:tcPr>
          <w:p>
            <w:pPr>
              <w:ind w:left="1200"/>
              <w:spacing w:after="0"/>
              <w:rPr>
                <w:sz w:val="20"/>
                <w:szCs w:val="20"/>
                <w:color w:val="auto"/>
              </w:rPr>
            </w:pPr>
            <w:r>
              <w:rPr>
                <w:rFonts w:ascii="Arial" w:cs="Arial" w:eastAsia="Arial" w:hAnsi="Arial"/>
                <w:sz w:val="18"/>
                <w:szCs w:val="18"/>
                <w:color w:val="auto"/>
              </w:rPr>
              <w:t>Luxembourg</w:t>
            </w:r>
          </w:p>
        </w:tc>
      </w:tr>
    </w:tbl>
    <w:p>
      <w:pPr>
        <w:sectPr>
          <w:pgSz w:w="11900" w:h="16838" w:orient="portrait"/>
          <w:cols w:equalWidth="0" w:num="1">
            <w:col w:w="11360"/>
          </w:cols>
          <w:pgMar w:left="280" w:top="742" w:right="25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0"/>
        </w:trPr>
        <w:tc>
          <w:tcPr>
            <w:tcW w:w="28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91"/>
        </w:trPr>
        <w:tc>
          <w:tcPr>
            <w:tcW w:w="6140" w:type="dxa"/>
            <w:vAlign w:val="bottom"/>
            <w:gridSpan w:val="2"/>
          </w:tcPr>
          <w:p>
            <w:pPr>
              <w:spacing w:after="0"/>
              <w:rPr>
                <w:sz w:val="20"/>
                <w:szCs w:val="20"/>
                <w:color w:val="auto"/>
              </w:rPr>
            </w:pPr>
            <w:r>
              <w:rPr>
                <w:rFonts w:ascii="Arial" w:cs="Arial" w:eastAsia="Arial" w:hAnsi="Arial"/>
                <w:sz w:val="18"/>
                <w:szCs w:val="18"/>
                <w:color w:val="auto"/>
              </w:rPr>
              <w:t>Metertek Sdn Bhd (J.V. 100% indirectly owned)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Malaysia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Servicios, S.A. de C.V.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Actaris Distribución México S.A. de C.V.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Inal-Industria Nacional de Precisão Limitada (J.V.)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Mozambique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B.V.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Netherlands</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Netherlands</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Poland</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Ricont - Empresa de Reparação e Instalação de Contadores,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Middle East LLC</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Qatar</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Solutions South Africa (Proprietary) Limited (J.V. Majority)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Russia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Arabian Metering Company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Saudi Arabia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Singapore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Spain SLU</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Sweden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Switzerland S.A.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Switzerland</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360"/>
          </w:cols>
          <w:pgMar w:left="280" w:top="729" w:right="12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40" w:hanging="265"/>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333-40356) pertaining to the Itron, Inc. 2000 Stock Incentive Compensation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333-89966) pertaining to the Itron, Inc. 2002 Employee Stock Purchase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333-97571) pertaining to the Itron, Inc. Amended and Restated 2000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333-115987) pertaining to the Itron, Inc. Amended and Restated 2000 Stock Incentive Plan,</w:t>
      </w:r>
    </w:p>
    <w:p>
      <w:pPr>
        <w:spacing w:after="0" w:line="225" w:lineRule="exact"/>
        <w:rPr>
          <w:rFonts w:ascii="Arial" w:cs="Arial" w:eastAsia="Arial" w:hAnsi="Arial"/>
          <w:sz w:val="18"/>
          <w:szCs w:val="18"/>
          <w:color w:val="auto"/>
        </w:rPr>
      </w:pPr>
    </w:p>
    <w:p>
      <w:pPr>
        <w:ind w:left="820" w:right="180" w:hanging="245"/>
        <w:spacing w:after="0" w:line="277" w:lineRule="auto"/>
        <w:tabs>
          <w:tab w:leader="none" w:pos="8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333-125461) pertaining to the Itron, Inc. Amended and Restated 2000 Stock Incentive Plan, and the Itron, Inc. Amended and Restated 2002 Employee Stock Purchase Plan,</w:t>
      </w:r>
    </w:p>
    <w:p>
      <w:pPr>
        <w:spacing w:after="0" w:line="170" w:lineRule="exact"/>
        <w:rPr>
          <w:rFonts w:ascii="Arial" w:cs="Arial" w:eastAsia="Arial" w:hAnsi="Arial"/>
          <w:sz w:val="18"/>
          <w:szCs w:val="18"/>
          <w:color w:val="auto"/>
        </w:rPr>
      </w:pPr>
    </w:p>
    <w:p>
      <w:pPr>
        <w:ind w:left="840" w:hanging="265"/>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333-134749) pertaining to the Itron, Inc. Amended and Restated 2000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333-143048) pertaining to the Itron, Inc. Amended and Restated 2000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333-166601) pertaining to the Itron, Inc. 2010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S-3ASR No. 333-181684) of Itron, Inc. and in the related Prospectus, and</w:t>
      </w:r>
    </w:p>
    <w:p>
      <w:pPr>
        <w:spacing w:after="0" w:line="225" w:lineRule="exact"/>
        <w:rPr>
          <w:rFonts w:ascii="Arial" w:cs="Arial" w:eastAsia="Arial" w:hAnsi="Arial"/>
          <w:sz w:val="18"/>
          <w:szCs w:val="18"/>
          <w:color w:val="auto"/>
        </w:rPr>
      </w:pPr>
    </w:p>
    <w:p>
      <w:pPr>
        <w:ind w:left="920" w:hanging="345"/>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333-181685) pertaining to the Itron, Inc. 2012 Employee Stock Purchase Plan;</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of our reports dated February 21, 2013, with respect to the consolidated financial statements and schedule of Itron, Inc. and the effectiveness of internal control over financial reporting of Itron, Inc. included in this Annual Report (Form 10-K) of Itron, Inc. for the year ended December 31, 2012.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jc w:val="center"/>
        <w:ind w:left="7640"/>
        <w:spacing w:after="0"/>
        <w:rPr>
          <w:sz w:val="20"/>
          <w:szCs w:val="20"/>
          <w:color w:val="auto"/>
        </w:rPr>
      </w:pPr>
      <w:r>
        <w:rPr>
          <w:rFonts w:ascii="Arial" w:cs="Arial" w:eastAsia="Arial" w:hAnsi="Arial"/>
          <w:sz w:val="17"/>
          <w:szCs w:val="17"/>
          <w:b w:val="1"/>
          <w:bCs w:val="1"/>
          <w:color w:val="auto"/>
        </w:rPr>
        <w:t>Philip C. Mezey President and Chief Executive</w:t>
      </w:r>
    </w:p>
    <w:p>
      <w:pPr>
        <w:spacing w:after="0" w:line="39"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2013</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8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2013</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2012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Steven M. Helmbrecht,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21, 2013</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21, 2013</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1)"/>
      <w:numFmt w:val="decimal"/>
      <w:start w:val="5"/>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2"/>
    </w:lvl>
  </w:abstractNum>
  <w:abstractNum w:abstractNumId="11">
    <w:nsid w:val="5C482A97"/>
    <w:multiLevelType w:val="hybridMultilevel"/>
    <w:lvl w:ilvl="0">
      <w:lvlJc w:val="left"/>
      <w:lvlText w:val="(%1)"/>
      <w:numFmt w:val="decimal"/>
      <w:start w:val="2"/>
    </w:lvl>
  </w:abstractNum>
  <w:abstractNum w:abstractNumId="12">
    <w:nsid w:val="2463B9EA"/>
    <w:multiLevelType w:val="hybridMultilevel"/>
    <w:lvl w:ilvl="0">
      <w:lvlJc w:val="left"/>
      <w:lvlText w:val="•"/>
      <w:numFmt w:val="bullet"/>
      <w:start w:val="1"/>
    </w:lvl>
    <w:lvl w:ilvl="1">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2"/>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lowerRoman"/>
      <w:start w:val="1"/>
    </w:lvl>
    <w:lvl w:ilvl="1">
      <w:lvlJc w:val="left"/>
      <w:lvlText w:val="(%2)"/>
      <w:numFmt w:val="lowerLetter"/>
      <w:start w:val="1"/>
    </w:lvl>
  </w:abstractNum>
  <w:abstractNum w:abstractNumId="23">
    <w:nsid w:val="725A06FB"/>
    <w:multiLevelType w:val="hybridMultilevel"/>
    <w:lvl w:ilvl="0">
      <w:lvlJc w:val="left"/>
      <w:lvlText w:val="(%1)"/>
      <w:numFmt w:val="lowerLetter"/>
      <w:start w:val="3"/>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3"/>
    </w:lvl>
  </w:abstractNum>
  <w:abstractNum w:abstractNumId="28">
    <w:nsid w:val="542289EC"/>
    <w:multiLevelType w:val="hybridMultilevel"/>
    <w:lvl w:ilvl="0">
      <w:lvlJc w:val="left"/>
      <w:lvlText w:val="%1."/>
      <w:numFmt w:val="decimal"/>
      <w:start w:val="6"/>
    </w:lvl>
  </w:abstractNum>
  <w:abstractNum w:abstractNumId="29">
    <w:nsid w:val="6DE91B18"/>
    <w:multiLevelType w:val="hybridMultilevel"/>
    <w:lvl w:ilvl="0">
      <w:lvlJc w:val="left"/>
      <w:lvlText w:val="(%1)"/>
      <w:numFmt w:val="upperLetter"/>
      <w:start w:val="1"/>
    </w:lvl>
  </w:abstractNum>
  <w:abstractNum w:abstractNumId="30">
    <w:nsid w:val="38437FDB"/>
    <w:multiLevelType w:val="hybridMultilevel"/>
    <w:lvl w:ilvl="0">
      <w:lvlJc w:val="left"/>
      <w:lvlText w:val="(%1)"/>
      <w:numFmt w:val="upperLetter"/>
      <w:start w:val="2"/>
    </w:lvl>
  </w:abstractNum>
  <w:abstractNum w:abstractNumId="31">
    <w:nsid w:val="7644A45C"/>
    <w:multiLevelType w:val="hybridMultilevel"/>
    <w:lvl w:ilvl="0">
      <w:lvlJc w:val="left"/>
      <w:lvlText w:val="(%1)"/>
      <w:numFmt w:val="upperLetter"/>
      <w:start w:val="1"/>
    </w:lvl>
  </w:abstractNum>
  <w:abstractNum w:abstractNumId="32">
    <w:nsid w:val="32FFF902"/>
    <w:multiLevelType w:val="hybridMultilevel"/>
    <w:lvl w:ilvl="0">
      <w:lvlJc w:val="left"/>
      <w:lvlText w:val="(%1)"/>
      <w:numFmt w:val="upperLetter"/>
      <w:start w:val="2"/>
    </w:lvl>
  </w:abstractNum>
  <w:abstractNum w:abstractNumId="33">
    <w:nsid w:val="684A481A"/>
    <w:multiLevelType w:val="hybridMultilevel"/>
    <w:lvl w:ilvl="0">
      <w:lvlJc w:val="left"/>
      <w:lvlText w:val="(%1)"/>
      <w:numFmt w:val="upperLetter"/>
      <w:start w:val="5"/>
    </w:lvl>
  </w:abstractNum>
  <w:abstractNum w:abstractNumId="34">
    <w:nsid w:val="579478FE"/>
    <w:multiLevelType w:val="hybridMultilevel"/>
    <w:lvl w:ilvl="0">
      <w:lvlJc w:val="left"/>
      <w:lvlText w:val="(%1)"/>
      <w:numFmt w:val="upperLetter"/>
      <w:start w:val="2"/>
    </w:lvl>
  </w:abstractNum>
  <w:abstractNum w:abstractNumId="35">
    <w:nsid w:val="749ABB43"/>
    <w:multiLevelType w:val="hybridMultilevel"/>
    <w:lvl w:ilvl="0">
      <w:lvlJc w:val="left"/>
      <w:lvlText w:val="%1."/>
      <w:numFmt w:val="decimal"/>
      <w:start w:val="7"/>
    </w:lvl>
  </w:abstractNum>
  <w:abstractNum w:abstractNumId="36">
    <w:nsid w:val="3DC240FB"/>
    <w:multiLevelType w:val="hybridMultilevel"/>
    <w:lvl w:ilvl="0">
      <w:lvlJc w:val="left"/>
      <w:lvlText w:val="(%1)"/>
      <w:numFmt w:val="decimal"/>
      <w:start w:val="30"/>
    </w:lvl>
  </w:abstractNum>
  <w:abstractNum w:abstractNumId="37">
    <w:nsid w:val="1BA026FA"/>
    <w:multiLevelType w:val="hybridMultilevel"/>
    <w:lvl w:ilvl="0">
      <w:lvlJc w:val="left"/>
      <w:lvlText w:val="%1."/>
      <w:numFmt w:val="decimal"/>
      <w:start w:val="8"/>
    </w:lvl>
  </w:abstractNum>
  <w:abstractNum w:abstractNumId="38">
    <w:nsid w:val="79A1DEAA"/>
    <w:multiLevelType w:val="hybridMultilevel"/>
    <w:lvl w:ilvl="0">
      <w:lvlJc w:val="left"/>
      <w:lvlText w:val="%1."/>
      <w:numFmt w:val="decimal"/>
      <w:start w:val="10"/>
    </w:lvl>
  </w:abstractNum>
  <w:abstractNum w:abstractNumId="39">
    <w:nsid w:val="75C6C33A"/>
    <w:multiLevelType w:val="hybridMultilevel"/>
    <w:lvl w:ilvl="0">
      <w:lvlJc w:val="left"/>
      <w:lvlText w:val="%1."/>
      <w:numFmt w:val="decimal"/>
      <w:start w:val="12"/>
    </w:lvl>
  </w:abstractNum>
  <w:abstractNum w:abstractNumId="40">
    <w:nsid w:val="12E685FB"/>
    <w:multiLevelType w:val="hybridMultilevel"/>
    <w:lvl w:ilvl="0">
      <w:lvlJc w:val="left"/>
      <w:lvlText w:val="(%1)"/>
      <w:numFmt w:val="upperLetter"/>
      <w:start w:val="1"/>
    </w:lvl>
  </w:abstractNum>
  <w:abstractNum w:abstractNumId="41">
    <w:nsid w:val="70C6A529"/>
    <w:multiLevelType w:val="hybridMultilevel"/>
    <w:lvl w:ilvl="0">
      <w:lvlJc w:val="left"/>
      <w:lvlText w:val="%1"/>
      <w:numFmt w:val="decimal"/>
      <w:start w:val="1"/>
    </w:lvl>
    <w:lvl w:ilvl="1">
      <w:lvlJc w:val="left"/>
      <w:lvlText w:val="(%2)"/>
      <w:numFmt w:val="upperLetter"/>
      <w:start w:val="2"/>
    </w:lvl>
  </w:abstractNum>
  <w:abstractNum w:abstractNumId="42">
    <w:nsid w:val="520EEDD1"/>
    <w:multiLevelType w:val="hybridMultilevel"/>
    <w:lvl w:ilvl="0">
      <w:lvlJc w:val="left"/>
      <w:lvlText w:val="%1."/>
      <w:numFmt w:val="decimal"/>
      <w:start w:val="15"/>
    </w:lvl>
    <w:lvl w:ilvl="1">
      <w:lvlJc w:val="left"/>
      <w:lvlText w:val="%2"/>
      <w:numFmt w:val="upperLetter"/>
      <w:start w:val="1"/>
    </w:lvl>
  </w:abstractNum>
  <w:abstractNum w:abstractNumId="43">
    <w:nsid w:val="374A3FE6"/>
    <w:multiLevelType w:val="hybridMultilevel"/>
    <w:lvl w:ilvl="0">
      <w:lvlJc w:val="left"/>
      <w:lvlText w:val="%1."/>
      <w:numFmt w:val="decimal"/>
      <w:start w:val="16"/>
    </w:lvl>
  </w:abstractNum>
  <w:abstractNum w:abstractNumId="44">
    <w:nsid w:val="4F4EF005"/>
    <w:multiLevelType w:val="hybridMultilevel"/>
    <w:lvl w:ilvl="0">
      <w:lvlJc w:val="left"/>
      <w:lvlText w:val="(%1)"/>
      <w:numFmt w:val="upperLetter"/>
      <w:start w:val="1"/>
    </w:lvl>
  </w:abstractNum>
  <w:abstractNum w:abstractNumId="45">
    <w:nsid w:val="23F9C13C"/>
    <w:multiLevelType w:val="hybridMultilevel"/>
    <w:lvl w:ilvl="0">
      <w:lvlJc w:val="left"/>
      <w:lvlText w:val="(%1)"/>
      <w:numFmt w:val="upperLetter"/>
      <w:start w:val="2"/>
    </w:lvl>
  </w:abstractNum>
  <w:abstractNum w:abstractNumId="46">
    <w:nsid w:val="649BB77C"/>
    <w:multiLevelType w:val="hybridMultilevel"/>
    <w:lvl w:ilvl="0">
      <w:lvlJc w:val="left"/>
      <w:lvlText w:val="(%1)"/>
      <w:numFmt w:val="upperLetter"/>
      <w:start w:val="1"/>
    </w:lvl>
  </w:abstractNum>
  <w:abstractNum w:abstractNumId="47">
    <w:nsid w:val="275AC794"/>
    <w:multiLevelType w:val="hybridMultilevel"/>
    <w:lvl w:ilvl="0">
      <w:lvlJc w:val="left"/>
      <w:lvlText w:val="(%1)"/>
      <w:numFmt w:val="upperLetter"/>
      <w:start w:val="2"/>
    </w:lvl>
  </w:abstractNum>
  <w:abstractNum w:abstractNumId="48">
    <w:nsid w:val="39386575"/>
    <w:multiLevelType w:val="hybridMultilevel"/>
    <w:lvl w:ilvl="0">
      <w:lvlJc w:val="left"/>
      <w:lvlText w:val="(%1)"/>
      <w:numFmt w:val="upperLetter"/>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2">
    <w:nsid w:val="47398C89"/>
    <w:multiLevelType w:val="hybridMultilevel"/>
    <w:lvl w:ilvl="0">
      <w:lvlJc w:val="left"/>
      <w:lvlText w:val="%1."/>
      <w:numFmt w:val="decimal"/>
      <w:start w:val="2"/>
    </w:lvl>
    <w:lvl w:ilvl="1">
      <w:lvlJc w:val="left"/>
      <w:lvlText w:val="(%2)"/>
      <w:numFmt w:val="lowerLetter"/>
      <w:start w:val="1"/>
    </w:lvl>
  </w:abstractNum>
  <w:abstractNum w:abstractNumId="53">
    <w:nsid w:val="354FE9F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4">
    <w:nsid w:val="15B5AF5C"/>
    <w:multiLevelType w:val="hybridMultilevel"/>
    <w:lvl w:ilvl="0">
      <w:lvlJc w:val="left"/>
      <w:lvlText w:val="(%1)"/>
      <w:numFmt w:val="lowerRoman"/>
      <w:start w:val="4"/>
    </w:lvl>
  </w:abstractNum>
  <w:abstractNum w:abstractNumId="55">
    <w:nsid w:val="741226BB"/>
    <w:multiLevelType w:val="hybridMultilevel"/>
    <w:lvl w:ilvl="0">
      <w:lvlJc w:val="left"/>
      <w:lvlText w:val="%1."/>
      <w:numFmt w:val="decimal"/>
      <w:start w:val="6"/>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1."/>
      <w:numFmt w:val="decimal"/>
      <w:start w:val="8"/>
    </w:lvl>
  </w:abstractNum>
  <w:abstractNum w:abstractNumId="58">
    <w:nsid w:val="3F6AB60F"/>
    <w:multiLevelType w:val="hybridMultilevel"/>
    <w:lvl w:ilvl="0">
      <w:lvlJc w:val="left"/>
      <w:lvlText w:val="%1."/>
      <w:numFmt w:val="decimal"/>
      <w:start w:val="13"/>
    </w:lvl>
  </w:abstractNum>
  <w:abstractNum w:abstractNumId="59">
    <w:nsid w:val="61574095"/>
    <w:multiLevelType w:val="hybridMultilevel"/>
    <w:lvl w:ilvl="0">
      <w:lvlJc w:val="left"/>
      <w:lvlText w:val="%1."/>
      <w:numFmt w:val="decimal"/>
      <w:start w:val="14"/>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2019-12-05T23:01:39Z</dcterms:created>
  <dcterms:modified xsi:type="dcterms:W3CDTF">2019-12-05T23:01:39Z</dcterms:modified>
</cp:coreProperties>
</file>