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660" w:right="1620" w:hanging="652"/>
        <w:spacing w:after="0" w:line="261"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2009</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7" w:lineRule="exact"/>
        <w:rPr>
          <w:sz w:val="24"/>
          <w:szCs w:val="24"/>
          <w:color w:val="auto"/>
        </w:rPr>
      </w:pPr>
    </w:p>
    <w:p>
      <w:pPr>
        <w:ind w:left="660"/>
        <w:spacing w:after="0"/>
        <w:tabs>
          <w:tab w:leader="none" w:pos="3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000-22418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679" w:right="23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Washington</w:t>
      </w:r>
    </w:p>
    <w:p>
      <w:pPr>
        <w:spacing w:after="0" w:line="27" w:lineRule="exact"/>
        <w:rPr>
          <w:sz w:val="24"/>
          <w:szCs w:val="24"/>
          <w:color w:val="auto"/>
        </w:rPr>
      </w:pPr>
    </w:p>
    <w:p>
      <w:pPr>
        <w:jc w:val="center"/>
        <w:ind w:right="56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300"/>
        <w:spacing w:after="0"/>
        <w:rPr>
          <w:sz w:val="20"/>
          <w:szCs w:val="20"/>
          <w:color w:val="auto"/>
        </w:rPr>
      </w:pPr>
      <w:r>
        <w:rPr>
          <w:rFonts w:ascii="Arial" w:cs="Arial" w:eastAsia="Arial" w:hAnsi="Arial"/>
          <w:sz w:val="18"/>
          <w:szCs w:val="18"/>
          <w:b w:val="1"/>
          <w:bCs w:val="1"/>
          <w:color w:val="auto"/>
        </w:rPr>
        <w:t>91-1011792</w:t>
      </w:r>
    </w:p>
    <w:p>
      <w:pPr>
        <w:spacing w:after="0" w:line="27" w:lineRule="exact"/>
        <w:rPr>
          <w:sz w:val="24"/>
          <w:szCs w:val="24"/>
          <w:color w:val="auto"/>
        </w:rPr>
      </w:pPr>
    </w:p>
    <w:p>
      <w:pPr>
        <w:jc w:val="center"/>
        <w:ind w:right="1300"/>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280" w:space="720"/>
            <w:col w:w="4420"/>
          </w:cols>
          <w:pgMar w:left="240" w:top="679" w:right="239" w:bottom="1440" w:gutter="0" w:footer="0" w:header="0"/>
          <w:type w:val="continuous"/>
        </w:sectPr>
      </w:pP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(509) 924-9900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and telephone number of registrant’s principal executive offices)</w:t>
      </w:r>
    </w:p>
    <w:p>
      <w:pPr>
        <w:spacing w:after="0" w:line="200" w:lineRule="exact"/>
        <w:rPr>
          <w:sz w:val="24"/>
          <w:szCs w:val="24"/>
          <w:color w:val="auto"/>
        </w:rPr>
      </w:pPr>
    </w:p>
    <w:p>
      <w:pPr>
        <w:spacing w:after="0" w:line="28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79" w:right="239" w:bottom="1440" w:gutter="0" w:footer="0" w:header="0"/>
          <w:type w:val="continuous"/>
        </w:sectPr>
      </w:pPr>
    </w:p>
    <w:p>
      <w:pPr>
        <w:spacing w:after="0" w:line="147" w:lineRule="exact"/>
        <w:rPr>
          <w:sz w:val="24"/>
          <w:szCs w:val="24"/>
          <w:color w:val="auto"/>
        </w:rPr>
      </w:pPr>
    </w:p>
    <w:p>
      <w:pPr>
        <w:ind w:left="60"/>
        <w:spacing w:after="0" w:line="234" w:lineRule="exact"/>
        <w:rPr>
          <w:sz w:val="20"/>
          <w:szCs w:val="20"/>
          <w:color w:val="auto"/>
        </w:rPr>
      </w:pPr>
      <w:r>
        <w:rPr>
          <w:rFonts w:ascii="Arial" w:cs="Arial" w:eastAsia="Arial" w:hAnsi="Arial"/>
          <w:sz w:val="16"/>
          <w:szCs w:val="16"/>
          <w:color w:val="auto"/>
        </w:rPr>
        <w:t xml:space="preserve">Large accelerated filer x 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9" w:lineRule="exact"/>
        <w:rPr>
          <w:sz w:val="24"/>
          <w:szCs w:val="24"/>
          <w:color w:val="auto"/>
        </w:rPr>
      </w:pPr>
    </w:p>
    <w:p>
      <w:pPr>
        <w:sectPr>
          <w:pgSz w:w="11900" w:h="16838" w:orient="portrait"/>
          <w:cols w:equalWidth="0" w:num="3">
            <w:col w:w="1800" w:space="20"/>
            <w:col w:w="3900" w:space="720"/>
            <w:col w:w="4980"/>
          </w:cols>
          <w:pgMar w:left="240" w:top="679" w:right="239" w:bottom="1440" w:gutter="0" w:footer="0" w:header="0"/>
          <w:type w:val="continuous"/>
        </w:sect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No x</w:t>
      </w:r>
    </w:p>
    <w:p>
      <w:pPr>
        <w:spacing w:after="0" w:line="28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As of October 30, 2009 there were 40,124,156 shares outstanding of the registrant’s common stock, no par value, which is the only class of common stock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1144270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Itron,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8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Page</w:t>
            </w:r>
          </w:p>
        </w:tc>
      </w:tr>
      <w:tr>
        <w:trPr>
          <w:trHeight w:val="202"/>
        </w:trPr>
        <w:tc>
          <w:tcPr>
            <w:tcW w:w="10620" w:type="dxa"/>
            <w:vAlign w:val="bottom"/>
            <w:gridSpan w:val="15"/>
          </w:tcPr>
          <w:p>
            <w:pPr>
              <w:spacing w:after="0" w:line="201" w:lineRule="exact"/>
              <w:rPr>
                <w:sz w:val="20"/>
                <w:szCs w:val="20"/>
                <w:color w:val="auto"/>
              </w:rPr>
            </w:pPr>
            <w:r>
              <w:rPr>
                <w:rFonts w:ascii="Arial" w:cs="Arial" w:eastAsia="Arial" w:hAnsi="Arial"/>
                <w:sz w:val="18"/>
                <w:szCs w:val="18"/>
                <w:b w:val="1"/>
                <w:bCs w:val="1"/>
                <w:color w:val="auto"/>
              </w:rPr>
              <w:t>PART I: FINANCIAL INFORMATION</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16"/>
        </w:trPr>
        <w:tc>
          <w:tcPr>
            <w:tcW w:w="120" w:type="dxa"/>
            <w:vAlign w:val="bottom"/>
          </w:tcPr>
          <w:p>
            <w:pPr>
              <w:spacing w:after="0"/>
              <w:rPr>
                <w:sz w:val="18"/>
                <w:szCs w:val="18"/>
                <w:color w:val="auto"/>
              </w:rPr>
            </w:pPr>
          </w:p>
        </w:tc>
        <w:tc>
          <w:tcPr>
            <w:tcW w:w="10500" w:type="dxa"/>
            <w:vAlign w:val="bottom"/>
            <w:gridSpan w:val="14"/>
          </w:tcPr>
          <w:p>
            <w:pPr>
              <w:spacing w:after="0"/>
              <w:rPr>
                <w:sz w:val="20"/>
                <w:szCs w:val="20"/>
                <w:color w:val="auto"/>
              </w:rPr>
            </w:pPr>
            <w:r>
              <w:rPr>
                <w:rFonts w:ascii="Arial" w:cs="Arial" w:eastAsia="Arial" w:hAnsi="Arial"/>
                <w:sz w:val="18"/>
                <w:szCs w:val="18"/>
                <w:color w:val="auto"/>
              </w:rPr>
              <w:t>Item 1: Financial Statements (Unaudited)</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190"/>
        </w:trPr>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40" w:type="dxa"/>
            <w:vAlign w:val="bottom"/>
            <w:gridSpan w:val="13"/>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Consolidated Statements of Operations</w:t>
              </w:r>
            </w:hyperlink>
          </w:p>
        </w:tc>
        <w:tc>
          <w:tcPr>
            <w:tcW w:w="440" w:type="dxa"/>
            <w:vAlign w:val="bottom"/>
            <w:gridSpan w:val="2"/>
          </w:tcPr>
          <w:p>
            <w:pPr>
              <w:jc w:val="center"/>
              <w:ind w:left="270"/>
              <w:spacing w:after="0" w:line="190"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36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00" w:type="dxa"/>
            <w:vAlign w:val="bottom"/>
            <w:gridSpan w:val="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Balance Sheets</w:t>
              </w:r>
            </w:hyperlink>
          </w:p>
        </w:tc>
        <w:tc>
          <w:tcPr>
            <w:tcW w:w="720" w:type="dxa"/>
            <w:vAlign w:val="bottom"/>
          </w:tcPr>
          <w:p>
            <w:pPr>
              <w:spacing w:after="0"/>
              <w:rPr>
                <w:sz w:val="17"/>
                <w:szCs w:val="17"/>
                <w:color w:val="auto"/>
              </w:rPr>
            </w:pPr>
          </w:p>
        </w:tc>
        <w:tc>
          <w:tcPr>
            <w:tcW w:w="7220" w:type="dxa"/>
            <w:vAlign w:val="bottom"/>
            <w:gridSpan w:val="6"/>
          </w:tcPr>
          <w:p>
            <w:pPr>
              <w:spacing w:after="0"/>
              <w:rPr>
                <w:sz w:val="17"/>
                <w:szCs w:val="17"/>
                <w:color w:val="auto"/>
              </w:rPr>
            </w:pPr>
          </w:p>
        </w:tc>
        <w:tc>
          <w:tcPr>
            <w:tcW w:w="440" w:type="dxa"/>
            <w:vAlign w:val="bottom"/>
            <w:gridSpan w:val="2"/>
          </w:tcPr>
          <w:p>
            <w:pPr>
              <w:jc w:val="center"/>
              <w:ind w:left="27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3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80" w:type="dxa"/>
            <w:vAlign w:val="bottom"/>
            <w:gridSpan w:val="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Cash Flows</w:t>
              </w:r>
            </w:hyperlink>
          </w:p>
        </w:tc>
        <w:tc>
          <w:tcPr>
            <w:tcW w:w="7160" w:type="dxa"/>
            <w:vAlign w:val="bottom"/>
            <w:gridSpan w:val="5"/>
          </w:tcPr>
          <w:p>
            <w:pPr>
              <w:spacing w:after="0"/>
              <w:rPr>
                <w:sz w:val="17"/>
                <w:szCs w:val="17"/>
                <w:color w:val="auto"/>
              </w:rPr>
            </w:pPr>
          </w:p>
        </w:tc>
        <w:tc>
          <w:tcPr>
            <w:tcW w:w="440" w:type="dxa"/>
            <w:vAlign w:val="bottom"/>
            <w:gridSpan w:val="2"/>
          </w:tcPr>
          <w:p>
            <w:pPr>
              <w:jc w:val="center"/>
              <w:ind w:left="27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3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40" w:type="dxa"/>
            <w:vAlign w:val="bottom"/>
            <w:gridSpan w:val="1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440" w:type="dxa"/>
            <w:vAlign w:val="bottom"/>
            <w:gridSpan w:val="2"/>
          </w:tcPr>
          <w:p>
            <w:pPr>
              <w:jc w:val="center"/>
              <w:ind w:left="27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3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20" w:type="dxa"/>
            <w:vAlign w:val="bottom"/>
            <w:gridSpan w:val="13"/>
          </w:tcPr>
          <w:p>
            <w:pPr>
              <w:spacing w:after="0" w:line="196" w:lineRule="exact"/>
              <w:rPr>
                <w:rFonts w:ascii="Arial" w:cs="Arial" w:eastAsia="Arial" w:hAnsi="Arial"/>
                <w:sz w:val="18"/>
                <w:szCs w:val="18"/>
                <w:color w:val="0000EE"/>
                <w:w w:val="91"/>
              </w:rPr>
            </w:pPr>
            <w:hyperlink w:anchor="page37">
              <w:r>
                <w:rPr>
                  <w:rFonts w:ascii="Arial" w:cs="Arial" w:eastAsia="Arial" w:hAnsi="Arial"/>
                  <w:sz w:val="18"/>
                  <w:szCs w:val="18"/>
                  <w:color w:val="0000EE"/>
                  <w:w w:val="91"/>
                </w:rPr>
                <w:t>Item 2: Management's Discussion and Analysis of Financial Condition and Results of Operations</w:t>
              </w:r>
            </w:hyperlink>
          </w:p>
        </w:tc>
        <w:tc>
          <w:tcPr>
            <w:tcW w:w="3480" w:type="dxa"/>
            <w:vAlign w:val="bottom"/>
          </w:tcPr>
          <w:p>
            <w:pPr>
              <w:spacing w:after="0"/>
              <w:rPr>
                <w:sz w:val="17"/>
                <w:szCs w:val="17"/>
                <w:color w:val="auto"/>
              </w:rPr>
            </w:pPr>
          </w:p>
        </w:tc>
        <w:tc>
          <w:tcPr>
            <w:tcW w:w="440" w:type="dxa"/>
            <w:vAlign w:val="bottom"/>
            <w:gridSpan w:val="2"/>
          </w:tcPr>
          <w:p>
            <w:pPr>
              <w:jc w:val="center"/>
              <w:ind w:left="170"/>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3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020" w:type="dxa"/>
            <w:vAlign w:val="bottom"/>
            <w:gridSpan w:val="13"/>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Item 3: Quantitative and Qualitative Disclosures About Market Risk</w:t>
              </w:r>
            </w:hyperlink>
          </w:p>
        </w:tc>
        <w:tc>
          <w:tcPr>
            <w:tcW w:w="3480" w:type="dxa"/>
            <w:vAlign w:val="bottom"/>
          </w:tcPr>
          <w:p>
            <w:pPr>
              <w:spacing w:after="0"/>
              <w:rPr>
                <w:sz w:val="17"/>
                <w:szCs w:val="17"/>
                <w:color w:val="auto"/>
              </w:rPr>
            </w:pPr>
          </w:p>
        </w:tc>
        <w:tc>
          <w:tcPr>
            <w:tcW w:w="440" w:type="dxa"/>
            <w:vAlign w:val="bottom"/>
            <w:gridSpan w:val="2"/>
          </w:tcPr>
          <w:p>
            <w:pPr>
              <w:jc w:val="center"/>
              <w:ind w:left="170"/>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45</w:t>
              </w:r>
            </w:hyperlink>
          </w:p>
        </w:tc>
        <w:tc>
          <w:tcPr>
            <w:tcW w:w="3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58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340" w:type="dxa"/>
            <w:vAlign w:val="bottom"/>
            <w:gridSpan w:val="6"/>
          </w:tcPr>
          <w:p>
            <w:pPr>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Item 4: Controls and Procedures</w:t>
              </w:r>
            </w:hyperlink>
          </w:p>
        </w:tc>
        <w:tc>
          <w:tcPr>
            <w:tcW w:w="2580" w:type="dxa"/>
            <w:vAlign w:val="bottom"/>
            <w:gridSpan w:val="6"/>
          </w:tcPr>
          <w:p>
            <w:pPr>
              <w:spacing w:after="0"/>
              <w:rPr>
                <w:sz w:val="17"/>
                <w:szCs w:val="17"/>
                <w:color w:val="auto"/>
              </w:rPr>
            </w:pPr>
          </w:p>
        </w:tc>
        <w:tc>
          <w:tcPr>
            <w:tcW w:w="5580" w:type="dxa"/>
            <w:vAlign w:val="bottom"/>
            <w:gridSpan w:val="2"/>
          </w:tcPr>
          <w:p>
            <w:pPr>
              <w:spacing w:after="0"/>
              <w:rPr>
                <w:sz w:val="17"/>
                <w:szCs w:val="17"/>
                <w:color w:val="auto"/>
              </w:rPr>
            </w:pPr>
          </w:p>
        </w:tc>
        <w:tc>
          <w:tcPr>
            <w:tcW w:w="440" w:type="dxa"/>
            <w:vAlign w:val="bottom"/>
            <w:gridSpan w:val="2"/>
          </w:tcPr>
          <w:p>
            <w:pPr>
              <w:jc w:val="center"/>
              <w:ind w:left="170"/>
              <w:spacing w:after="0" w:line="196"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3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616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438"/>
        </w:trPr>
        <w:tc>
          <w:tcPr>
            <w:tcW w:w="10620" w:type="dxa"/>
            <w:vAlign w:val="bottom"/>
            <w:gridSpan w:val="15"/>
          </w:tcPr>
          <w:p>
            <w:pPr>
              <w:spacing w:after="0"/>
              <w:rPr>
                <w:sz w:val="20"/>
                <w:szCs w:val="20"/>
                <w:color w:val="auto"/>
              </w:rPr>
            </w:pPr>
            <w:r>
              <w:rPr>
                <w:rFonts w:ascii="Arial" w:cs="Arial" w:eastAsia="Arial" w:hAnsi="Arial"/>
                <w:sz w:val="18"/>
                <w:szCs w:val="18"/>
                <w:b w:val="1"/>
                <w:bCs w:val="1"/>
                <w:color w:val="auto"/>
              </w:rPr>
              <w:t>PART II: OTHER INFORMATION</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10500" w:type="dxa"/>
            <w:vAlign w:val="bottom"/>
            <w:gridSpan w:val="14"/>
          </w:tcPr>
          <w:p>
            <w:pPr>
              <w:spacing w:after="0" w:line="190" w:lineRule="exact"/>
              <w:rPr>
                <w:rFonts w:ascii="Arial" w:cs="Arial" w:eastAsia="Arial" w:hAnsi="Arial"/>
                <w:sz w:val="18"/>
                <w:szCs w:val="18"/>
                <w:color w:val="0000EE"/>
              </w:rPr>
            </w:pPr>
            <w:hyperlink w:anchor="page49">
              <w:r>
                <w:rPr>
                  <w:rFonts w:ascii="Arial" w:cs="Arial" w:eastAsia="Arial" w:hAnsi="Arial"/>
                  <w:sz w:val="18"/>
                  <w:szCs w:val="18"/>
                  <w:color w:val="0000EE"/>
                </w:rPr>
                <w:t>Item 1: Legal Proceedings</w:t>
              </w:r>
            </w:hyperlink>
          </w:p>
        </w:tc>
        <w:tc>
          <w:tcPr>
            <w:tcW w:w="440" w:type="dxa"/>
            <w:vAlign w:val="bottom"/>
            <w:gridSpan w:val="2"/>
          </w:tcPr>
          <w:p>
            <w:pPr>
              <w:jc w:val="center"/>
              <w:ind w:left="170"/>
              <w:spacing w:after="0" w:line="190"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36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60" w:type="dxa"/>
            <w:vAlign w:val="bottom"/>
            <w:tcBorders>
              <w:left w:val="single" w:sz="8" w:color="0000EE"/>
            </w:tcBorders>
            <w:gridSpan w:val="5"/>
          </w:tcPr>
          <w:p>
            <w:pPr>
              <w:spacing w:after="0" w:line="20" w:lineRule="exact"/>
              <w:rPr>
                <w:sz w:val="1"/>
                <w:szCs w:val="1"/>
                <w:color w:val="auto"/>
              </w:rPr>
            </w:pPr>
          </w:p>
        </w:tc>
        <w:tc>
          <w:tcPr>
            <w:tcW w:w="616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80" w:type="dxa"/>
            <w:vAlign w:val="bottom"/>
            <w:gridSpan w:val="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1A: Risk Factors</w:t>
              </w:r>
            </w:hyperlink>
          </w:p>
        </w:tc>
        <w:tc>
          <w:tcPr>
            <w:tcW w:w="8620" w:type="dxa"/>
            <w:vAlign w:val="bottom"/>
            <w:gridSpan w:val="9"/>
          </w:tcPr>
          <w:p>
            <w:pPr>
              <w:spacing w:after="0"/>
              <w:rPr>
                <w:sz w:val="17"/>
                <w:szCs w:val="17"/>
                <w:color w:val="auto"/>
              </w:rPr>
            </w:pPr>
          </w:p>
        </w:tc>
        <w:tc>
          <w:tcPr>
            <w:tcW w:w="440" w:type="dxa"/>
            <w:vAlign w:val="bottom"/>
            <w:gridSpan w:val="2"/>
          </w:tcPr>
          <w:p>
            <w:pPr>
              <w:jc w:val="center"/>
              <w:ind w:left="170"/>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3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616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40" w:type="dxa"/>
            <w:vAlign w:val="bottom"/>
            <w:gridSpan w:val="10"/>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Item 4: Submission of Matters to a Vote of Security Holders</w:t>
              </w:r>
            </w:hyperlink>
          </w:p>
        </w:tc>
        <w:tc>
          <w:tcPr>
            <w:tcW w:w="6160" w:type="dxa"/>
            <w:vAlign w:val="bottom"/>
            <w:gridSpan w:val="4"/>
          </w:tcPr>
          <w:p>
            <w:pPr>
              <w:spacing w:after="0"/>
              <w:rPr>
                <w:sz w:val="17"/>
                <w:szCs w:val="17"/>
                <w:color w:val="auto"/>
              </w:rPr>
            </w:pPr>
          </w:p>
        </w:tc>
        <w:tc>
          <w:tcPr>
            <w:tcW w:w="440" w:type="dxa"/>
            <w:vAlign w:val="bottom"/>
            <w:gridSpan w:val="2"/>
          </w:tcPr>
          <w:p>
            <w:pPr>
              <w:jc w:val="center"/>
              <w:ind w:left="170"/>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3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460" w:type="dxa"/>
            <w:vAlign w:val="bottom"/>
            <w:tcBorders>
              <w:left w:val="single" w:sz="8" w:color="0000EE"/>
            </w:tcBorders>
            <w:gridSpan w:val="5"/>
            <w:shd w:val="clear" w:color="auto" w:fill="0000EE"/>
          </w:tcPr>
          <w:p>
            <w:pPr>
              <w:spacing w:after="0" w:line="20" w:lineRule="exact"/>
              <w:rPr>
                <w:sz w:val="1"/>
                <w:szCs w:val="1"/>
                <w:color w:val="auto"/>
              </w:rPr>
            </w:pPr>
          </w:p>
        </w:tc>
        <w:tc>
          <w:tcPr>
            <w:tcW w:w="6160" w:type="dxa"/>
            <w:vAlign w:val="bottom"/>
            <w:gridSpan w:val="4"/>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340" w:type="dxa"/>
            <w:vAlign w:val="bottom"/>
            <w:gridSpan w:val="1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5: Other Information</w:t>
              </w:r>
            </w:hyperlink>
          </w:p>
        </w:tc>
        <w:tc>
          <w:tcPr>
            <w:tcW w:w="6160" w:type="dxa"/>
            <w:vAlign w:val="bottom"/>
            <w:gridSpan w:val="4"/>
          </w:tcPr>
          <w:p>
            <w:pPr>
              <w:spacing w:after="0"/>
              <w:rPr>
                <w:sz w:val="17"/>
                <w:szCs w:val="17"/>
                <w:color w:val="auto"/>
              </w:rPr>
            </w:pPr>
          </w:p>
        </w:tc>
        <w:tc>
          <w:tcPr>
            <w:tcW w:w="440" w:type="dxa"/>
            <w:vAlign w:val="bottom"/>
            <w:gridSpan w:val="2"/>
          </w:tcPr>
          <w:p>
            <w:pPr>
              <w:jc w:val="center"/>
              <w:ind w:left="170"/>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3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8620" w:type="dxa"/>
            <w:vAlign w:val="bottom"/>
            <w:gridSpan w:val="9"/>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880" w:type="dxa"/>
            <w:vAlign w:val="bottom"/>
            <w:gridSpan w:val="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Item 6: Exhibits</w:t>
              </w:r>
            </w:hyperlink>
          </w:p>
        </w:tc>
        <w:tc>
          <w:tcPr>
            <w:tcW w:w="8620" w:type="dxa"/>
            <w:vAlign w:val="bottom"/>
            <w:gridSpan w:val="9"/>
          </w:tcPr>
          <w:p>
            <w:pPr>
              <w:spacing w:after="0"/>
              <w:rPr>
                <w:sz w:val="17"/>
                <w:szCs w:val="17"/>
                <w:color w:val="auto"/>
              </w:rPr>
            </w:pPr>
          </w:p>
        </w:tc>
        <w:tc>
          <w:tcPr>
            <w:tcW w:w="440" w:type="dxa"/>
            <w:vAlign w:val="bottom"/>
            <w:gridSpan w:val="2"/>
          </w:tcPr>
          <w:p>
            <w:pPr>
              <w:jc w:val="center"/>
              <w:ind w:left="170"/>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36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340" w:type="dxa"/>
            <w:vAlign w:val="bottom"/>
            <w:gridSpan w:val="11"/>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412"/>
        </w:trPr>
        <w:tc>
          <w:tcPr>
            <w:tcW w:w="10620" w:type="dxa"/>
            <w:vAlign w:val="bottom"/>
            <w:gridSpan w:val="15"/>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SIGNATURE</w:t>
              </w:r>
            </w:hyperlink>
          </w:p>
        </w:tc>
        <w:tc>
          <w:tcPr>
            <w:tcW w:w="440" w:type="dxa"/>
            <w:vAlign w:val="bottom"/>
            <w:gridSpan w:val="2"/>
          </w:tcPr>
          <w:p>
            <w:pPr>
              <w:jc w:val="center"/>
              <w:ind w:left="17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360" w:type="dxa"/>
            <w:vAlign w:val="bottom"/>
          </w:tcPr>
          <w:p>
            <w:pPr>
              <w:spacing w:after="0"/>
              <w:rPr>
                <w:sz w:val="24"/>
                <w:szCs w:val="24"/>
                <w:color w:val="auto"/>
              </w:rPr>
            </w:pPr>
          </w:p>
        </w:tc>
      </w:tr>
      <w:tr>
        <w:trPr>
          <w:trHeight w:val="679"/>
        </w:trPr>
        <w:tc>
          <w:tcPr>
            <w:tcW w:w="120" w:type="dxa"/>
            <w:vAlign w:val="bottom"/>
            <w:tcBorders>
              <w:top w:val="single" w:sz="8" w:color="0000EE"/>
              <w:bottom w:val="single" w:sz="8" w:color="808080"/>
            </w:tcBorders>
          </w:tcPr>
          <w:p>
            <w:pPr>
              <w:spacing w:after="0"/>
              <w:rPr>
                <w:sz w:val="24"/>
                <w:szCs w:val="24"/>
                <w:color w:val="auto"/>
              </w:rPr>
            </w:pPr>
          </w:p>
        </w:tc>
        <w:tc>
          <w:tcPr>
            <w:tcW w:w="460" w:type="dxa"/>
            <w:vAlign w:val="bottom"/>
            <w:tcBorders>
              <w:top w:val="single" w:sz="8" w:color="0000EE"/>
              <w:bottom w:val="single" w:sz="8" w:color="808080"/>
            </w:tcBorders>
          </w:tcPr>
          <w:p>
            <w:pPr>
              <w:spacing w:after="0"/>
              <w:rPr>
                <w:sz w:val="24"/>
                <w:szCs w:val="24"/>
                <w:color w:val="auto"/>
              </w:rPr>
            </w:pPr>
          </w:p>
        </w:tc>
        <w:tc>
          <w:tcPr>
            <w:tcW w:w="480" w:type="dxa"/>
            <w:vAlign w:val="bottom"/>
            <w:tcBorders>
              <w:top w:val="single" w:sz="8" w:color="0000EE"/>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top w:val="single" w:sz="8" w:color="0000EE"/>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Three Months Ended September 30,</w:t>
            </w:r>
          </w:p>
        </w:tc>
        <w:tc>
          <w:tcPr>
            <w:tcW w:w="140" w:type="dxa"/>
            <w:vAlign w:val="bottom"/>
          </w:tcPr>
          <w:p>
            <w:pPr>
              <w:spacing w:after="0"/>
              <w:rPr>
                <w:sz w:val="20"/>
                <w:szCs w:val="20"/>
                <w:color w:val="auto"/>
              </w:rPr>
            </w:pPr>
          </w:p>
        </w:tc>
        <w:tc>
          <w:tcPr>
            <w:tcW w:w="30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(in thousands, except per share data)</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408,358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484,818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1,210,624</w:t>
            </w: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Cost of revenues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278,879</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321,858</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818,452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975,496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129,479</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162,960</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392,172</w:t>
            </w: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501,729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37,669</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41,363</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112,569</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127,534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31,077</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31,781</w:t>
            </w:r>
          </w:p>
        </w:tc>
        <w:tc>
          <w:tcPr>
            <w:tcW w:w="1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93,044</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26,606</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34,088</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84,097</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25,121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30,395</w:t>
            </w:r>
          </w:p>
        </w:tc>
        <w:tc>
          <w:tcPr>
            <w:tcW w:w="1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72,788</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120,473</w:t>
            </w:r>
          </w:p>
        </w:tc>
        <w:tc>
          <w:tcPr>
            <w:tcW w:w="10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137,627</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362,498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412,931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Operating income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9,006</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25,333</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29,674</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88,798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(20,075)</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(21,037)</w:t>
            </w:r>
          </w:p>
        </w:tc>
        <w:tc>
          <w:tcPr>
            <w:tcW w:w="1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(53,319)</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Loss on extinguishment of debt, net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(12,800)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(4,534)</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(9,445)</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ind w:left="680"/>
              <w:spacing w:after="0"/>
              <w:rPr>
                <w:sz w:val="20"/>
                <w:szCs w:val="20"/>
                <w:color w:val="auto"/>
              </w:rPr>
            </w:pPr>
            <w:r>
              <w:rPr>
                <w:rFonts w:ascii="Arial" w:cs="Arial" w:eastAsia="Arial" w:hAnsi="Arial"/>
                <w:sz w:val="18"/>
                <w:szCs w:val="18"/>
                <w:color w:val="auto"/>
              </w:rPr>
              <w:t>Total other income (expense)</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(27,114)</w:t>
            </w:r>
          </w:p>
        </w:tc>
        <w:tc>
          <w:tcPr>
            <w:tcW w:w="10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(19,356)</w:t>
            </w:r>
          </w:p>
        </w:tc>
        <w:tc>
          <w:tcPr>
            <w:tcW w:w="1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(74,593)</w:t>
            </w: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(72,454)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(18,108)</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5,977</w:t>
            </w: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(44,919)</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15,146</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w:t>
            </w:r>
          </w:p>
        </w:tc>
        <w:tc>
          <w:tcPr>
            <w:tcW w:w="1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37,517</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income (loss)</w:t>
            </w:r>
          </w:p>
        </w:tc>
        <w:tc>
          <w:tcPr>
            <w:tcW w:w="8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(2,962)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5,600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(7,402)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Earnings (loss) per common share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Diluted</w:t>
            </w:r>
          </w:p>
        </w:tc>
        <w:tc>
          <w:tcPr>
            <w:tcW w:w="8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40,039</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34,385</w:t>
            </w:r>
          </w:p>
        </w:tc>
        <w:tc>
          <w:tcPr>
            <w:tcW w:w="1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Diluted</w:t>
            </w: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40,039</w:t>
            </w:r>
          </w:p>
        </w:tc>
        <w:tc>
          <w:tcPr>
            <w:tcW w:w="100" w:type="dxa"/>
            <w:vAlign w:val="bottom"/>
          </w:tcPr>
          <w:p>
            <w:pPr>
              <w:spacing w:after="0"/>
              <w:rPr>
                <w:sz w:val="20"/>
                <w:szCs w:val="20"/>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36,872</w:t>
            </w: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38,003</w:t>
            </w:r>
          </w:p>
        </w:tc>
        <w:tc>
          <w:tcPr>
            <w:tcW w:w="32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34,991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2008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00" w:type="dxa"/>
            <w:vAlign w:val="bottom"/>
            <w:vMerge w:val="restart"/>
          </w:tcPr>
          <w:p>
            <w:pPr>
              <w:ind w:left="366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124,721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325,119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177,766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28,993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31,807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9"/>
                <w:szCs w:val="19"/>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69,583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top w:val="single" w:sz="8" w:color="CCEEFF"/>
            </w:tcBorders>
          </w:tcPr>
          <w:p>
            <w:pPr>
              <w:ind w:left="6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726,182</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717,717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315,967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307,717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Prepaid debt fees</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10,450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14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68,934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18,831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419,136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481,886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1,323,932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1,285,853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2,883,432</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2,856,348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2040"/>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193,867</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59,687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Wages and benefits payable</w:t>
            </w:r>
          </w:p>
        </w:tc>
        <w:tc>
          <w:tcPr>
            <w:tcW w:w="14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70,559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payable</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34,309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10,953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warranty</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20,751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Unearned revenue</w:t>
            </w:r>
          </w:p>
        </w:tc>
        <w:tc>
          <w:tcPr>
            <w:tcW w:w="14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34,731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24,329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426,784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424,421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Long-term debt</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812,991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1,140,998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12,764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Pension plan benefits</w:t>
            </w:r>
          </w:p>
        </w:tc>
        <w:tc>
          <w:tcPr>
            <w:tcW w:w="14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59,026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83,745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obligations</w:t>
            </w:r>
          </w:p>
        </w:tc>
        <w:tc>
          <w:tcPr>
            <w:tcW w:w="140" w:type="dxa"/>
            <w:vAlign w:val="bottom"/>
          </w:tcPr>
          <w:p>
            <w:pPr>
              <w:spacing w:after="0"/>
              <w:rPr>
                <w:sz w:val="19"/>
                <w:szCs w:val="19"/>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77,280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58,743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1,472,590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Preferred stock</w:t>
            </w:r>
          </w:p>
        </w:tc>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1,294,425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Accumulated other comprehensive income, net</w:t>
            </w:r>
          </w:p>
        </w:tc>
        <w:tc>
          <w:tcPr>
            <w:tcW w:w="140" w:type="dxa"/>
            <w:vAlign w:val="bottom"/>
          </w:tcPr>
          <w:p>
            <w:pPr>
              <w:spacing w:after="0"/>
              <w:rPr>
                <w:sz w:val="18"/>
                <w:szCs w:val="18"/>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8"/>
                <w:szCs w:val="18"/>
                <w:color w:val="auto"/>
              </w:rPr>
              <w:t>91,320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25,097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Cumulative effect of change in accounting principle (Note 1)</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(17,792)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1,410,842</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1,058,776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2,883,432</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2,856,348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26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7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w w:val="71"/>
              </w:rPr>
              <w:t>thousands)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26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113,812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13,467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prepaid debt fees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6,384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Amortization of convertible debt discount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7,262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 net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9,960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Deferred income taxes, net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(51,341)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11,608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Arial" w:cs="Arial" w:eastAsia="Arial" w:hAnsi="Arial"/>
                <w:sz w:val="18"/>
                <w:szCs w:val="18"/>
                <w:color w:val="auto"/>
              </w:rPr>
              <w:t>Inventories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(4,211)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(19,100)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payables, other current liabilities, and taxes payable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Arial" w:cs="Arial" w:eastAsia="Arial" w:hAnsi="Arial"/>
                <w:sz w:val="18"/>
                <w:szCs w:val="18"/>
                <w:color w:val="auto"/>
              </w:rPr>
              <w:t>Wages and benefits payable</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(10,404)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Unearned revenue</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9,272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Arial" w:cs="Arial" w:eastAsia="Arial" w:hAnsi="Arial"/>
                <w:sz w:val="18"/>
                <w:szCs w:val="18"/>
                <w:color w:val="auto"/>
              </w:rPr>
              <w:t>Warranty</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(5,735)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87,087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156,224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Investing activities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Acquisitions of property, plant, and equipment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(38,023)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Arial" w:cs="Arial" w:eastAsia="Arial" w:hAnsi="Arial"/>
                <w:sz w:val="18"/>
                <w:szCs w:val="18"/>
                <w:color w:val="auto"/>
              </w:rPr>
              <w:t>Business acquisitions &amp; contingent consideration, net of cash equivalents acquired</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(1,317)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(35,239)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(40,137)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Financing activities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Payments on debt</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(236,495)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165,235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323,424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debt fees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Arial" w:cs="Arial" w:eastAsia="Arial" w:hAnsi="Arial"/>
                <w:sz w:val="18"/>
                <w:szCs w:val="18"/>
                <w:color w:val="auto"/>
              </w:rPr>
              <w:t>Other, net</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(1,309)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(76,505)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(61,253)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(19,669)</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55,403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144,390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8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124,721</w:t>
            </w:r>
          </w:p>
        </w:tc>
        <w:tc>
          <w:tcPr>
            <w:tcW w:w="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147,391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i w:val="1"/>
                <w:iCs w:val="1"/>
                <w:color w:val="auto"/>
              </w:rPr>
              <w:t>Non-cash transactions: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Fixed assets purchased but not yet paid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5,492</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Arial" w:cs="Arial" w:eastAsia="Arial" w:hAnsi="Arial"/>
                <w:sz w:val="18"/>
                <w:szCs w:val="18"/>
                <w:color w:val="auto"/>
              </w:rPr>
              <w:t>Exchange of debt for common stock (see Note 6)</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120,984</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Contingent consideration payable for previous acquisitions</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00"/>
              <w:spacing w:after="0"/>
              <w:rPr>
                <w:sz w:val="20"/>
                <w:szCs w:val="20"/>
                <w:color w:val="auto"/>
              </w:rPr>
            </w:pPr>
            <w:r>
              <w:rPr>
                <w:rFonts w:ascii="Arial" w:cs="Arial" w:eastAsia="Arial" w:hAnsi="Arial"/>
                <w:sz w:val="18"/>
                <w:szCs w:val="18"/>
                <w:color w:val="auto"/>
              </w:rPr>
              <w:t>Cash paid during the period for:</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19,308</w:t>
            </w: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Interest, net of amounts capitalized</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43,207</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58,195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products and services to utilities for the energy and water markets throughout the world.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condensed consolidated financial statements presented in this Quarterly Report on Form 10-Q are unaudited and reflect entries necessary for the fair presentation of the Consolidated Statements of Operations for the three and nine months ended September 30, 2009 and 2008, the Consolidated Balance Sheets as of September 30, 2009 and December 31, 2008, and the Consolidated Statements of Cash Flows for the nine months ended September 30, 2009 and 2008 of Itron, Inc. and its subsidiaries. All entries required for the fair presentation of the financial statements are of a normal recurring nature, except as disclosed.</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information and note disclosures normally included in financial statements prepared in accordance with U.S. generally accepted accounting principles (GAAP) have been condensed or omitted pursuant to the rules and regulations of the Securities and Exchange Commission (SEC) regarding interim results. These condensed consolidated financial statements should be read in conjunction with the 2008 audited financial statements and notes included in our Annual Report on Form 10-K, as filed with the SEC on February 26, 2009. The results of operations for the three and nine months ended September 30, 2009 are not necessarily indicative of the results expected for the full fiscal year or for any other fiscal period.</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Financial Accounting Standards Board (</w:t>
      </w:r>
      <w:r>
        <w:rPr>
          <w:rFonts w:ascii="Arial" w:cs="Arial" w:eastAsia="Arial" w:hAnsi="Arial"/>
          <w:sz w:val="18"/>
          <w:szCs w:val="18"/>
          <w:i w:val="1"/>
          <w:iCs w:val="1"/>
          <w:color w:val="auto"/>
        </w:rPr>
        <w:t>FASB) Accounting Standards Codification</w:t>
      </w:r>
      <w:r>
        <w:rPr>
          <w:rFonts w:ascii="Arial" w:cs="Arial" w:eastAsia="Arial" w:hAnsi="Arial"/>
          <w:sz w:val="18"/>
          <w:szCs w:val="18"/>
          <w:color w:val="auto"/>
        </w:rPr>
        <w:t>™ (ASC), which became effective on July 1, 2009, is now the single source of authoritative GAAP, along with additional guidance issued by the SEC. All other accounting literature is now considered non-authoritative. For new accounting pronouncements issued by the FASB prior to the effective date of the ASC, we will continue to use the pre-ASC reference, e.g., FSP 14-1 or SFAS 167, for clarity, as the guidance in these recently released pronouncements is typically located in multiple subtopics and sections within the ASC. All other GAAP references in this Quarterly Report on Form 10-Q are from the ASC.</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consolidate all entities in which we have a greater than 50% ownership interest. We also consolidate entities in which we have a 50% or less investment and over which we have control. We use the equity method of accounting for entities in which we have a 50% or less investment and exercise significant influence. Entities in which we have less than a 20% investment and where we do not exercise significant influence are accounted for under the cost method. We consider for consolidation any variable interest entity of which we are the primary beneficiary. At September 30, 2009, investments in variable interest entities and noncontrolling interests were not material. Intercompany transactions and balances have been eliminated upon consolidation,</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Accounting Principle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On January 1, 2009, we adopted FASB Staff Position (FSP) APB 14-1, </w:t>
      </w:r>
      <w:r>
        <w:rPr>
          <w:rFonts w:ascii="Arial" w:cs="Arial" w:eastAsia="Arial" w:hAnsi="Arial"/>
          <w:sz w:val="17"/>
          <w:szCs w:val="17"/>
          <w:i w:val="1"/>
          <w:iCs w:val="1"/>
          <w:color w:val="auto"/>
        </w:rPr>
        <w:t>Accounting for Convertible Debt Instruments That May Be Settled in Cash upon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Conversion (Including Partial Cash Settlement) </w:t>
      </w:r>
      <w:r>
        <w:rPr>
          <w:rFonts w:ascii="Arial" w:cs="Arial" w:eastAsia="Arial" w:hAnsi="Arial"/>
          <w:sz w:val="17"/>
          <w:szCs w:val="17"/>
          <w:color w:val="auto"/>
        </w:rPr>
        <w:t>(FSP 14-1). FSP 14-1 requires the convertible debt to be separated into its liability and equity components in</w:t>
      </w:r>
      <w:r>
        <w:rPr>
          <w:rFonts w:ascii="Arial" w:cs="Arial" w:eastAsia="Arial" w:hAnsi="Arial"/>
          <w:sz w:val="17"/>
          <w:szCs w:val="17"/>
          <w:i w:val="1"/>
          <w:iCs w:val="1"/>
          <w:color w:val="auto"/>
        </w:rPr>
        <w:t xml:space="preserve"> </w:t>
      </w:r>
      <w:r>
        <w:rPr>
          <w:rFonts w:ascii="Arial" w:cs="Arial" w:eastAsia="Arial" w:hAnsi="Arial"/>
          <w:sz w:val="17"/>
          <w:szCs w:val="17"/>
          <w:color w:val="auto"/>
        </w:rPr>
        <w:t>a manner that reflects our non-convertible debt borrowing rate and must be applied retrospectively to all periods during which our convertible debt was outstanding. Our senior subordinated convertible notes (convertible notes) were issued in August 2006. Refer to Note 6 for further disclosure of the terms of the convertible notes and the adoption of FSP 14-1. (The guidance in FSP 14-1 is now embedded within ASC 470).</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334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w:t>
              </w:r>
            </w:hyperlink>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8140" w:type="dxa"/>
            <w:vAlign w:val="bottom"/>
            <w:gridSpan w:val="1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00" w:type="dxa"/>
            <w:vAlign w:val="bottom"/>
            <w:gridSpan w:val="19"/>
          </w:tcPr>
          <w:p>
            <w:pPr>
              <w:spacing w:after="0"/>
              <w:rPr>
                <w:sz w:val="20"/>
                <w:szCs w:val="20"/>
                <w:color w:val="auto"/>
              </w:rPr>
            </w:pPr>
            <w:r>
              <w:rPr>
                <w:rFonts w:ascii="Arial" w:cs="Arial" w:eastAsia="Arial" w:hAnsi="Arial"/>
                <w:sz w:val="18"/>
                <w:szCs w:val="18"/>
                <w:color w:val="auto"/>
                <w:w w:val="92"/>
              </w:rPr>
              <w:t>The impact of the adoption of FSP 14-1 on our results of operations, our financial position, and our cash flows is as follows: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0"/>
              </w:rPr>
              <w:t>Three Months Ended September 30, 2008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gridSpan w:val="11"/>
          </w:tcPr>
          <w:p>
            <w:pPr>
              <w:jc w:val="center"/>
              <w:ind w:right="260"/>
              <w:spacing w:after="0"/>
              <w:rPr>
                <w:sz w:val="20"/>
                <w:szCs w:val="20"/>
                <w:color w:val="auto"/>
              </w:rPr>
            </w:pPr>
            <w:r>
              <w:rPr>
                <w:rFonts w:ascii="Arial" w:cs="Arial" w:eastAsia="Arial" w:hAnsi="Arial"/>
                <w:sz w:val="18"/>
                <w:szCs w:val="18"/>
                <w:b w:val="1"/>
                <w:bCs w:val="1"/>
                <w:color w:val="auto"/>
                <w:w w:val="90"/>
              </w:rPr>
              <w:t>Nine Months Ended September 30, 2008</w:t>
            </w: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Upon</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Upon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As Previously</w:t>
            </w:r>
          </w:p>
        </w:tc>
        <w:tc>
          <w:tcPr>
            <w:tcW w:w="100" w:type="dxa"/>
            <w:vAlign w:val="bottom"/>
          </w:tcPr>
          <w:p>
            <w:pPr>
              <w:spacing w:after="0"/>
              <w:rPr>
                <w:sz w:val="18"/>
                <w:szCs w:val="18"/>
                <w:color w:val="auto"/>
              </w:rPr>
            </w:pPr>
          </w:p>
        </w:tc>
        <w:tc>
          <w:tcPr>
            <w:tcW w:w="138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3"/>
              </w:rPr>
              <w:t>Impact of FSP</w:t>
            </w:r>
          </w:p>
        </w:tc>
        <w:tc>
          <w:tcPr>
            <w:tcW w:w="10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Adoption of</w:t>
            </w:r>
          </w:p>
        </w:tc>
        <w:tc>
          <w:tcPr>
            <w:tcW w:w="40" w:type="dxa"/>
            <w:vAlign w:val="bottom"/>
          </w:tcPr>
          <w:p>
            <w:pPr>
              <w:spacing w:after="0"/>
              <w:rPr>
                <w:sz w:val="18"/>
                <w:szCs w:val="18"/>
                <w:color w:val="auto"/>
              </w:rPr>
            </w:pPr>
          </w:p>
        </w:tc>
        <w:tc>
          <w:tcPr>
            <w:tcW w:w="13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7"/>
              </w:rPr>
              <w:t>As Previously</w:t>
            </w:r>
          </w:p>
        </w:tc>
        <w:tc>
          <w:tcPr>
            <w:tcW w:w="4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Impact of FSP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Adoption of</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Reported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14-1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FSP 14-1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8"/>
                <w:szCs w:val="18"/>
                <w:b w:val="1"/>
                <w:bCs w:val="1"/>
                <w:color w:val="auto"/>
                <w:w w:val="91"/>
              </w:rPr>
              <w:t>Reported</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4"/>
              </w:rPr>
              <w:t>14-1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FSP 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0"/>
              </w:rPr>
              <w:t>(in</w:t>
            </w:r>
          </w:p>
        </w:tc>
        <w:tc>
          <w:tcPr>
            <w:tcW w:w="2660" w:type="dxa"/>
            <w:vAlign w:val="bottom"/>
            <w:gridSpan w:val="8"/>
          </w:tcPr>
          <w:p>
            <w:pPr>
              <w:ind w:left="40"/>
              <w:spacing w:after="0"/>
              <w:rPr>
                <w:sz w:val="20"/>
                <w:szCs w:val="20"/>
                <w:color w:val="auto"/>
              </w:rPr>
            </w:pPr>
            <w:r>
              <w:rPr>
                <w:rFonts w:ascii="Arial" w:cs="Arial" w:eastAsia="Arial" w:hAnsi="Arial"/>
                <w:sz w:val="18"/>
                <w:szCs w:val="18"/>
                <w:b w:val="1"/>
                <w:bCs w:val="1"/>
                <w:color w:val="auto"/>
                <w:w w:val="88"/>
              </w:rPr>
              <w:t>thousands, except per share data)</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(17,644)</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(3,393)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(21,037)</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(65,367)</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(75,362)</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Income tax (provision) benefit</w:t>
            </w: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(377)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(2,586)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3,884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7,675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(2,075)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23,753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Earnings per common share</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82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0.22</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0.16</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0.73</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(0.19)</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0.15</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0.68</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709"/>
        </w:trPr>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9"/>
          </w:tcPr>
          <w:p>
            <w:pPr>
              <w:jc w:val="center"/>
              <w:ind w:left="750"/>
              <w:spacing w:after="0"/>
              <w:rPr>
                <w:sz w:val="20"/>
                <w:szCs w:val="20"/>
                <w:color w:val="auto"/>
              </w:rPr>
            </w:pPr>
            <w:r>
              <w:rPr>
                <w:rFonts w:ascii="Arial" w:cs="Arial" w:eastAsia="Arial" w:hAnsi="Arial"/>
                <w:sz w:val="18"/>
                <w:szCs w:val="18"/>
                <w:b w:val="1"/>
                <w:bCs w:val="1"/>
                <w:color w:val="auto"/>
                <w:w w:val="91"/>
              </w:rPr>
              <w:t>At December 31, 2008</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Upon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ind w:left="20"/>
              <w:spacing w:after="0"/>
              <w:rPr>
                <w:sz w:val="20"/>
                <w:szCs w:val="20"/>
                <w:color w:val="auto"/>
              </w:rPr>
            </w:pPr>
            <w:r>
              <w:rPr>
                <w:rFonts w:ascii="Arial" w:cs="Arial" w:eastAsia="Arial" w:hAnsi="Arial"/>
                <w:sz w:val="18"/>
                <w:szCs w:val="18"/>
                <w:b w:val="1"/>
                <w:bCs w:val="1"/>
                <w:color w:val="auto"/>
              </w:rPr>
              <w:t>As Previously</w:t>
            </w:r>
          </w:p>
        </w:tc>
        <w:tc>
          <w:tcPr>
            <w:tcW w:w="4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Impact of FSP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Adoption of</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3"/>
              </w:rPr>
              <w:t>Reported</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14-1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FSP 14-1</w:t>
            </w:r>
          </w:p>
        </w:tc>
        <w:tc>
          <w:tcPr>
            <w:tcW w:w="0" w:type="dxa"/>
            <w:vAlign w:val="bottom"/>
          </w:tcPr>
          <w:p>
            <w:pPr>
              <w:spacing w:after="0"/>
              <w:rPr>
                <w:sz w:val="1"/>
                <w:szCs w:val="1"/>
                <w:color w:val="auto"/>
              </w:rPr>
            </w:pPr>
          </w:p>
        </w:tc>
      </w:tr>
      <w:tr>
        <w:trPr>
          <w:trHeight w:val="234"/>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Balance Sheet</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0"/>
              </w:rPr>
              <w:t>Deferred income taxes, net (long-term asset)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45,783</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(14,866)</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30,917</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Long-term debt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1,179,249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(38,251)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1,140,998</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951,007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41,177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992,184</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Cumulative effect of change in</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accounting principle</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(17,792)</w:t>
            </w:r>
          </w:p>
        </w:tc>
        <w:tc>
          <w:tcPr>
            <w:tcW w:w="0" w:type="dxa"/>
            <w:vAlign w:val="bottom"/>
          </w:tcPr>
          <w:p>
            <w:pPr>
              <w:spacing w:after="0"/>
              <w:rPr>
                <w:sz w:val="1"/>
                <w:szCs w:val="1"/>
                <w:color w:val="auto"/>
              </w:rPr>
            </w:pPr>
          </w:p>
        </w:tc>
      </w:tr>
      <w:tr>
        <w:trPr>
          <w:trHeight w:val="466"/>
        </w:trPr>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gridSpan w:val="11"/>
          </w:tcPr>
          <w:p>
            <w:pPr>
              <w:jc w:val="center"/>
              <w:ind w:right="300"/>
              <w:spacing w:after="0"/>
              <w:rPr>
                <w:sz w:val="20"/>
                <w:szCs w:val="20"/>
                <w:color w:val="auto"/>
              </w:rPr>
            </w:pPr>
            <w:r>
              <w:rPr>
                <w:rFonts w:ascii="Arial" w:cs="Arial" w:eastAsia="Arial" w:hAnsi="Arial"/>
                <w:sz w:val="18"/>
                <w:szCs w:val="18"/>
                <w:b w:val="1"/>
                <w:bCs w:val="1"/>
                <w:color w:val="auto"/>
                <w:w w:val="90"/>
              </w:rPr>
              <w:t>Nine Months Ended September 30, 2008</w:t>
            </w: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Upon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4"/>
          </w:tcPr>
          <w:p>
            <w:pPr>
              <w:ind w:left="20"/>
              <w:spacing w:after="0"/>
              <w:rPr>
                <w:sz w:val="20"/>
                <w:szCs w:val="20"/>
                <w:color w:val="auto"/>
              </w:rPr>
            </w:pPr>
            <w:r>
              <w:rPr>
                <w:rFonts w:ascii="Arial" w:cs="Arial" w:eastAsia="Arial" w:hAnsi="Arial"/>
                <w:sz w:val="18"/>
                <w:szCs w:val="18"/>
                <w:b w:val="1"/>
                <w:bCs w:val="1"/>
                <w:color w:val="auto"/>
              </w:rPr>
              <w:t>As Previously</w:t>
            </w:r>
          </w:p>
        </w:tc>
        <w:tc>
          <w:tcPr>
            <w:tcW w:w="4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Impact of FSP</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Adoption of</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w w:val="93"/>
              </w:rPr>
              <w:t>Reported</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14-1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FSP 14-1</w:t>
            </w:r>
          </w:p>
        </w:tc>
        <w:tc>
          <w:tcPr>
            <w:tcW w:w="0" w:type="dxa"/>
            <w:vAlign w:val="bottom"/>
          </w:tcPr>
          <w:p>
            <w:pPr>
              <w:spacing w:after="0"/>
              <w:rPr>
                <w:sz w:val="1"/>
                <w:szCs w:val="1"/>
                <w:color w:val="auto"/>
              </w:rPr>
            </w:pPr>
          </w:p>
        </w:tc>
      </w:tr>
      <w:tr>
        <w:trPr>
          <w:trHeight w:val="234"/>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9"/>
              </w:rPr>
              <w:t>Consolidated Statement of Cash Flows</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(in thousands)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23,753</w:t>
            </w:r>
          </w:p>
        </w:tc>
        <w:tc>
          <w:tcPr>
            <w:tcW w:w="1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w w:val="96"/>
              </w:rPr>
              <w:t>Amortization of convertible debt discount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9,995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9,995</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(27,473)</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(31,357)</w:t>
            </w:r>
          </w:p>
        </w:tc>
        <w:tc>
          <w:tcPr>
            <w:tcW w:w="0" w:type="dxa"/>
            <w:vAlign w:val="bottom"/>
          </w:tcPr>
          <w:p>
            <w:pPr>
              <w:spacing w:after="0"/>
              <w:rPr>
                <w:sz w:val="1"/>
                <w:szCs w:val="1"/>
                <w:color w:val="auto"/>
              </w:rPr>
            </w:pPr>
          </w:p>
        </w:tc>
      </w:tr>
      <w:tr>
        <w:trPr>
          <w:trHeight w:val="466"/>
        </w:trPr>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2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0"/>
              </w:rPr>
              <w:t>Three Months Ended September 30, 2009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0" w:type="dxa"/>
            <w:vAlign w:val="bottom"/>
            <w:gridSpan w:val="11"/>
          </w:tcPr>
          <w:p>
            <w:pPr>
              <w:jc w:val="center"/>
              <w:ind w:right="260"/>
              <w:spacing w:after="0"/>
              <w:rPr>
                <w:sz w:val="20"/>
                <w:szCs w:val="20"/>
                <w:color w:val="auto"/>
              </w:rPr>
            </w:pPr>
            <w:r>
              <w:rPr>
                <w:rFonts w:ascii="Arial" w:cs="Arial" w:eastAsia="Arial" w:hAnsi="Arial"/>
                <w:sz w:val="18"/>
                <w:szCs w:val="18"/>
                <w:b w:val="1"/>
                <w:bCs w:val="1"/>
                <w:color w:val="auto"/>
                <w:w w:val="90"/>
              </w:rPr>
              <w:t>Nine Months Ended September 30, 2009</w:t>
            </w:r>
          </w:p>
        </w:tc>
        <w:tc>
          <w:tcPr>
            <w:tcW w:w="0" w:type="dxa"/>
            <w:vAlign w:val="bottom"/>
          </w:tcPr>
          <w:p>
            <w:pPr>
              <w:spacing w:after="0"/>
              <w:rPr>
                <w:sz w:val="1"/>
                <w:szCs w:val="1"/>
                <w:color w:val="auto"/>
              </w:rPr>
            </w:pPr>
          </w:p>
        </w:tc>
      </w:tr>
      <w:tr>
        <w:trPr>
          <w:trHeight w:val="198"/>
        </w:trPr>
        <w:tc>
          <w:tcPr>
            <w:tcW w:w="9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Excluding</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0"/>
              </w:rPr>
              <w:t>Excluding</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93"/>
              </w:rPr>
              <w:t>Impact of FSP</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Impact of FSP</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80" w:type="dxa"/>
            <w:vAlign w:val="bottom"/>
            <w:gridSpan w:val="3"/>
          </w:tcPr>
          <w:p>
            <w:pPr>
              <w:ind w:left="20"/>
              <w:spacing w:after="0"/>
              <w:rPr>
                <w:sz w:val="20"/>
                <w:szCs w:val="20"/>
                <w:color w:val="auto"/>
              </w:rPr>
            </w:pPr>
            <w:r>
              <w:rPr>
                <w:rFonts w:ascii="Arial" w:cs="Arial" w:eastAsia="Arial" w:hAnsi="Arial"/>
                <w:sz w:val="18"/>
                <w:szCs w:val="18"/>
                <w:b w:val="1"/>
                <w:bCs w:val="1"/>
                <w:color w:val="auto"/>
              </w:rPr>
              <w:t>Impact of FSP</w:t>
            </w:r>
          </w:p>
        </w:tc>
        <w:tc>
          <w:tcPr>
            <w:tcW w:w="80" w:type="dxa"/>
            <w:vAlign w:val="bottom"/>
          </w:tcPr>
          <w:p>
            <w:pPr>
              <w:spacing w:after="0"/>
              <w:rPr>
                <w:sz w:val="18"/>
                <w:szCs w:val="18"/>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rPr>
              <w:t>Impact of FSP</w:t>
            </w:r>
          </w:p>
        </w:tc>
        <w:tc>
          <w:tcPr>
            <w:tcW w:w="0" w:type="dxa"/>
            <w:vAlign w:val="bottom"/>
          </w:tcPr>
          <w:p>
            <w:pPr>
              <w:spacing w:after="0"/>
              <w:rPr>
                <w:sz w:val="1"/>
                <w:szCs w:val="1"/>
                <w:color w:val="auto"/>
              </w:rPr>
            </w:pPr>
          </w:p>
        </w:tc>
      </w:tr>
      <w:tr>
        <w:trPr>
          <w:trHeight w:val="241"/>
        </w:trPr>
        <w:tc>
          <w:tcPr>
            <w:tcW w:w="9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As Reported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8"/>
              </w:rPr>
              <w:t>14-1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14-1</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As Reported</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4"/>
              </w:rPr>
              <w:t>14-1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0"/>
              </w:rPr>
              <w:t>(in</w:t>
            </w:r>
          </w:p>
        </w:tc>
        <w:tc>
          <w:tcPr>
            <w:tcW w:w="2660" w:type="dxa"/>
            <w:vAlign w:val="bottom"/>
            <w:gridSpan w:val="8"/>
          </w:tcPr>
          <w:p>
            <w:pPr>
              <w:ind w:left="40"/>
              <w:spacing w:after="0"/>
              <w:rPr>
                <w:sz w:val="20"/>
                <w:szCs w:val="20"/>
                <w:color w:val="auto"/>
              </w:rPr>
            </w:pPr>
            <w:r>
              <w:rPr>
                <w:rFonts w:ascii="Arial" w:cs="Arial" w:eastAsia="Arial" w:hAnsi="Arial"/>
                <w:sz w:val="18"/>
                <w:szCs w:val="18"/>
                <w:b w:val="1"/>
                <w:bCs w:val="1"/>
                <w:color w:val="auto"/>
                <w:w w:val="88"/>
              </w:rPr>
              <w:t>thousands, except per share data)</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4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(20,075)</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2,367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(17,708)</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(53,319)</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7,262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(46,057)</w:t>
            </w:r>
          </w:p>
        </w:tc>
        <w:tc>
          <w:tcPr>
            <w:tcW w:w="0" w:type="dxa"/>
            <w:vAlign w:val="bottom"/>
          </w:tcPr>
          <w:p>
            <w:pPr>
              <w:spacing w:after="0"/>
              <w:rPr>
                <w:sz w:val="1"/>
                <w:szCs w:val="1"/>
                <w:color w:val="auto"/>
              </w:rPr>
            </w:pPr>
          </w:p>
        </w:tc>
      </w:tr>
      <w:tr>
        <w:trPr>
          <w:trHeight w:val="216"/>
        </w:trPr>
        <w:tc>
          <w:tcPr>
            <w:tcW w:w="3340" w:type="dxa"/>
            <w:vAlign w:val="bottom"/>
            <w:gridSpan w:val="2"/>
          </w:tcPr>
          <w:p>
            <w:pPr>
              <w:ind w:left="180"/>
              <w:spacing w:after="0"/>
              <w:rPr>
                <w:sz w:val="20"/>
                <w:szCs w:val="20"/>
                <w:color w:val="auto"/>
              </w:rPr>
            </w:pPr>
            <w:r>
              <w:rPr>
                <w:rFonts w:ascii="Arial" w:cs="Arial" w:eastAsia="Arial" w:hAnsi="Arial"/>
                <w:sz w:val="18"/>
                <w:szCs w:val="18"/>
                <w:color w:val="auto"/>
              </w:rPr>
              <w:t>Income tax benefit (provision)</w:t>
            </w:r>
          </w:p>
        </w:tc>
        <w:tc>
          <w:tcPr>
            <w:tcW w:w="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15,146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7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14,242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37,517</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34,734</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(7,402)</w:t>
            </w: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Earnings (loss) per common share</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ind w:left="82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(0.04)</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(0.19)</w:t>
            </w: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(0.07)</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(0.04)</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which are primarily interest rate swaps, are determined using the fair value measurements of significant other observable inputs (Level 2), as defined by GAAP.</w:t>
      </w:r>
    </w:p>
    <w:p>
      <w:pPr>
        <w:sectPr>
          <w:pgSz w:w="11900" w:h="16838" w:orient="portrait"/>
          <w:cols w:equalWidth="0" w:num="1">
            <w:col w:w="11420"/>
          </w:cols>
          <w:pgMar w:left="240" w:top="114"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(OCI) and are recognized in earnings when the hedged item affects earnings. If the derivative is a net investment hedge, the effective portion of any unrealized gain or loss is reported in accumulated OCI as a net unrealized gain or loss on derivative instruments.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Derivatives are not used for trading or speculative purposes. Most of our derivatives are with one counterparty, which is a major international financial institution, with whom we have a master netting agreement; however, our derivative positions are not disclosed on a net basis. There are no credit-risk-related contingent features within our derivative instruments. Refer to Note 7 and Note 12 for further disclosures of our derivative instruments and their impact on other comprehensive income (loss).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The allowance for doubtful accounts is based on our historical experience of bad debts and our specific review of outstanding receivables at period end. Accounts receivable are written-off against the allowance when we believe an account, or a portion thereof, is no longer collectible.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the straight-line method over the estimated useful lives of the assets, generally thirty years for buildings and three to five years for equipment, computers, and furniture. Leasehold improvements are capitalized and amortized over the term of the applicable lease, including renewable periods if reasonably assured, or over the useful lives, whichever is shorter.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review long-lived assets for impairment whenever events or circumstances indicate the carrying amount of an asset or asset group may not be recoverable. We have had no significant impairments of long-lived assets. Assets held for sale are classified within other current assets in the Consolidated Balance Sheets, are reported at the lower of the carrying amount or fair value less costs to sell, and are no longer depreciated. We have no assets held for sale.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the date of acquisition, the assets acquired, liabilities assumed, and any noncontrolling interests in the acquiree are recorded at their fair values. The acquiree results of operations are also included as of the date of acquisition in the consolidated results. Intangible assets that arise from contractual/legal rights, or are capable of being separated, as well as in-process research and development (IPR&amp;D), are measured and recorded at fair value.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We will capitalize any future IPR&amp;D as an intangible asset and amortize the balance over its estimated useful life (prior to January 1, 2009, we expensed acquired IPR&amp;D in accordance with U.S. GAAP in effect at that time). The residual balance of the purchase price, after fair value allocations to all identified assets and liabilities, represents goodwill. Acquisition-related costs will be expensed as incurred. Restructuring costs are generally expensed in periods subsequent to the acquisition date, and changes in deferred tax asset valuation allowances and acquired income tax uncertainties after the measurement period are recognized as a component of provision for income taxes.</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and intangible assets result from our acquisitions. We use estimates in determining and assigning the fair value of goodwill and intangible assets, including estimates of useful lives of intangible assets, the amount and timing of related future cash flows, and fair values of the related operations. Our intangible assets have finite lives, are amortized over their estimated useful lives based on estimated discounted cash flows, and are tested for impairment when events or changes in circumstances indicate the carrying value may not be recoverable.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Goodwill is assigned to our reporting units based on the expected benefit from the synergies arising from each business combination, determined by using certain financial metrics, including the incremental discounted cash flows associated with each reporting unit. Goodwill is tested for impairment as of October 1 of each year, or more frequently if a significant impairment indicator occurs. 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gross profit. The long-term warranty balance includes estimated warranty claims beyond one year. Warranty expense is classified within cost of revenues.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Changes in these factors and related estimates could materially affect our financial position and results of operations.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Bonus and Profit Sharing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various employee bonus and profit sharing plans, which provide award amounts for the achievement of annual financial and nonfinancial targets. If management determines it probable that the targets will be achieved and the amounts can be reasonably estimated, a compensation accrual is recorded based on the proportional achievement of the financial and nonfinancial targets. Although we monitor and accrue expenses quarterly based on our progress toward the achievement of the annual targets, the actual results at the end of the year may require awards that are significantly greater or less than the estimates made in earlier quarters.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both funded and unfunded non-U.S. defined benefit pension plans.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net of tax, the actuarial gains or losses and prior service costs or credits, if any, that arise during the period but are not recognized as components of net periodic benefit cost.</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arrangements with multiple deliverables are divided into separate units of accounting if the delivered item(s) have value to the customer on a standalone basis, there is vendor-specific objective evidence (VSOE) of fair value of both the delivered and undelivered item(s), and delivery/performance of the undelivered item(s) is probable. The total arrangement consideration is allocated among the separate units of accounting based on their relative fair values and the applicable revenue recognition criteria considered for each unit of accounting. For our standard contract arrangements that combine deliverables such as hardware, meter reading system software, installation, and project management services, each deliverable is generally considered a single unit of accounting. The amount allocable to a delivered item is limited to the amount that we are entitled to collect and that is not contingent upon the delivery/performance of additional items.</w:t>
      </w:r>
    </w:p>
    <w:p>
      <w:pPr>
        <w:spacing w:after="0" w:line="21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Revenues are recognized when (1) persuasive evidence of an arrangement exists, (2) delivery has occurred or services have been rendered, (3) the sales price is fixed or determinable, and (4) collectibility is reasonably assured. Hardware revenues are generally recognized at the time of shipment, receipt by customer, or, if applicable, upon completion of customer acceptance provisions. For software arrangements with multiple elements, revenue recognition is also dependent upon the availability of VSOE of fair value for each of the elements. The lack of VSOE, or the existence of extended payment terms or other inherent risks, may affect the timing of revenue recognition for software arrangements. If implementation services are essential to a software arrangement, revenue is recognized using either the percentage-of-completion methodology if project costs can be estimated or the completed contract methodology if project costs cannot be reliably estimated. 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 in our Consolidated Statements of Operations.</w:t>
      </w:r>
    </w:p>
    <w:p>
      <w:pPr>
        <w:sectPr>
          <w:pgSz w:w="11900" w:h="16838" w:orient="portrait"/>
          <w:cols w:equalWidth="0" w:num="1">
            <w:col w:w="11420"/>
          </w:cols>
          <w:pgMar w:left="240" w:top="121" w:right="239" w:bottom="1440" w:gutter="0" w:footer="0" w:header="0"/>
        </w:sectPr>
      </w:pP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Unearned revenue is recorded when a customer pays for products or services where the criteria for revenue recognition have not been met as of the balance sheet date. Unearned revenues of $39.7 million and $29.4 million at September 30, 2009 and December 31, 2008 related primarily to professional services and software associated with our OpenWay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contracts, extended warranty, and prepaid post contract support. Unearned revenue is recognized when the applicable revenue recognition criteria are met. Deferred cost is recorded for products or services for which ownership (typically defined as title and risk of loss) has transferred to the customer, but for which the criteria for revenue recognition have not been met as of the balance sheet date. Deferred costs are recognized when the applicable revenue recognition criteria are met. Deferred costs were $17.5 million and $11.0 million at September 30, 2009 and December 31, 2008.</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For software we develop to be marketed or sold, we capitalize development costs after technological feasibility is established. Due to the relatively short period of time between technological feasibility and the completion of product and software development, and the immaterial nature of these costs, we generally do not capitalize product and software development expenses.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stock options, stock issued pursuant to our Employee Stock Purchase Plan (ESPP), and the issuance of restricted and unrestricted stock awards and units based on estimated fair values. The fair values of stock options and ESPP awards are estimated at the date of grant using the Black-Scholes option-pricing model, which includes assumptions for the dividend yield, expected volatility, risk-free interest rate, and expected life. For restricted and unrestricted stock awards and units, the fair value is the market close price of our common stock on the date of grant. We expense stock-based compensation, adjusted for estimated forfeitures, using the straight-line method over the vesting requirement. A substantial portion of our stock-based compensation cannot be expensed for tax purposes. When we have tax deductions in excess of the compensation cost, they are classified as financing cash inflows in the Consolidated Statements of Cash Flows.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Loss on Extinguishment of Debt, Net</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partial or full redemption of our borrowings, we recognize a gain or loss for the difference between the cash paid and the net carrying amount of the debt. Included in the net carrying amount is any unamortized premium or discount from the original issuance of the debt. Due to the particular characteristics of our convertible notes, upon conversion or derecognition of our convertible notes, we recognize a gain or loss for the difference between the fair value of the consideration transferred to the holder that is allocated to the liability component, which is equal to the fair value of the liability component immediately prior to extinguishment, and the net carrying amount of the liability component (including any unamortized discount and debt issuance costs). In the case of an induced conversion, a loss is recognized for the amount of the fair value of the securities or other consideration transferred to the holder in excess of fair value of the consideration issuable in accordance with the original conversion terms of the debt.</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two primary objectives related to accounting for income taxes are to 1) recognize the amount of taxes payable or refundable for the current year and 2) recognize deferred tax liabilities and assets for the future tax consequences of events that have been recognized in our financial statements or tax returns. Deferred income taxes are recorded for the temporary differences between the financial reporting basis and tax basis of our assets and liabilities in each of the tax jurisdictions in which we operate. These deferred income taxes are measured using the tax rates expected to be in effect when the temporary differences reverse. We establish a valuation allowance related to a deferred income tax asset when we believe it is more likely than not that a portion of such asset will not be realized. Deferred income tax liabilities have not been recorded on undistributed earnings of international subsidiaries that are permanently reinvested.</w:t>
      </w:r>
    </w:p>
    <w:p>
      <w:pPr>
        <w:spacing w:after="0" w:line="19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compute our interim income tax provision through the use of an estimated annual effective tax rate (‘ETR’) applied to year-to-date operating results and specific events that are discretely recognized as they occur. In determining the estimated annual ETR, we analyze various factors, including projections of our annual earnings, taxing jurisdictions in which the earnings will be generated, the impact of state and local income taxes, our ability to use tax credits and net operating loss carryforwards, and available tax planning alternatives. Discrete items, including the effect of changes in tax laws, tax rates, and certain circumstances with respect to valuation allowances or other unusual or non-recurring tax adjustments are reflected in the period in which they occur as an addition to, or reduction from, the income tax provision, rather than included in the estimated annual ETR.</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recognize and measure tax positions taken, or expected to be taken, in a tax return that affect amounts in our financial statements. A tax position is first evaluated for recognition based on its technical merits. Tax positions that have a greater than fifty percent likelihood of being realized upon ultimate settlement are then measured to determine amounts to be recognized in the financial statements. This measurement incorporates information about potential settlements with taxing authorities. We classify interest expense and penalties related to uncertain tax positions and interest income on tax overpayments as part of income tax expense.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condensed consolidated financial statements are reported in U.S. dollars. Assets and liabilities of international subsidiaries with a non-U.S. dollar functional currency are translated to U.S. dollars at the exchange rates in effect on the balance sheet date, or the last business day of the period, if applicable. Gains and losses that arise from exchange rate fluctuations for asset and liability balances that are not denominated in an entity’s functional currency are included in the Consolidated Statements of Operations. Currency gains and losses of intercompany balances deemed to be long-term in nature or designated as a hedge of the net investment in international subsidiaries are included, net of tax, in accumulated other comprehensive income in shareholders’ equity. Revenues and expenses for these subsidiaries are translated to U.S. dollars using a weighted average rate for the relevant reporting period. Translation adjustments resulting from this process are included, net of tax, in accumulated other comprehensive income in shareholders’ equity.</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The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For fair value measurements using Level 3 inputs, a reconciliation of the beginning and ending balances is required. The effective date for applying the fair value measurement criteria in accordance with FASB ASC 820-10-20,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was January 1, 2009 for nonfinancial assets and nonfinancial liabilities, except those that are recognized or disclosed at fair value in the financial statements on a recurring basis (at least annually).</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Reclassifications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Change in Accounting Principle</w:t>
      </w:r>
      <w:r>
        <w:rPr>
          <w:rFonts w:ascii="Arial" w:cs="Arial" w:eastAsia="Arial" w:hAnsi="Arial"/>
          <w:sz w:val="18"/>
          <w:szCs w:val="18"/>
          <w:color w:val="auto"/>
        </w:rPr>
        <w:t xml:space="preserve"> for the impact of the adoption of FSP 14-1.</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New Accounting Pronouncements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December 2008, the FASB issued FSP FAS 132(R)-1, </w:t>
      </w:r>
      <w:r>
        <w:rPr>
          <w:rFonts w:ascii="Arial" w:cs="Arial" w:eastAsia="Arial" w:hAnsi="Arial"/>
          <w:sz w:val="18"/>
          <w:szCs w:val="18"/>
          <w:i w:val="1"/>
          <w:iCs w:val="1"/>
          <w:color w:val="auto"/>
        </w:rPr>
        <w:t>Employers’ Disclosures about Postretirement Benefit Plan Assets,</w:t>
      </w:r>
      <w:r>
        <w:rPr>
          <w:rFonts w:ascii="Arial" w:cs="Arial" w:eastAsia="Arial" w:hAnsi="Arial"/>
          <w:sz w:val="18"/>
          <w:szCs w:val="18"/>
          <w:color w:val="auto"/>
        </w:rPr>
        <w:t xml:space="preserve"> which amends Statement of Financial Accounting Standards (SFAS) 132(R), </w:t>
      </w:r>
      <w:r>
        <w:rPr>
          <w:rFonts w:ascii="Arial" w:cs="Arial" w:eastAsia="Arial" w:hAnsi="Arial"/>
          <w:sz w:val="18"/>
          <w:szCs w:val="18"/>
          <w:i w:val="1"/>
          <w:iCs w:val="1"/>
          <w:color w:val="auto"/>
        </w:rPr>
        <w:t>Employer’s Disclosures about Pensions and Other Postretirement Benefits</w:t>
      </w:r>
      <w:r>
        <w:rPr>
          <w:rFonts w:ascii="Arial" w:cs="Arial" w:eastAsia="Arial" w:hAnsi="Arial"/>
          <w:sz w:val="18"/>
          <w:szCs w:val="18"/>
          <w:color w:val="auto"/>
        </w:rPr>
        <w:t>, to require additional fair value disclosures about assets held in an employer’s defined benefit pension or other postretirement plan. This FSP is effective for our December 31, 2009 Annual Report on Form 10-K. (The guidance in FSP FAS 132(R)-1 is now embedded within ASC 715.)</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June 2009, the FASB issued SFAS 167, </w:t>
      </w:r>
      <w:r>
        <w:rPr>
          <w:rFonts w:ascii="Arial" w:cs="Arial" w:eastAsia="Arial" w:hAnsi="Arial"/>
          <w:sz w:val="18"/>
          <w:szCs w:val="18"/>
          <w:i w:val="1"/>
          <w:iCs w:val="1"/>
          <w:color w:val="auto"/>
        </w:rPr>
        <w:t>Amendments to FASB Interpretation No. 46(R)</w:t>
      </w:r>
      <w:r>
        <w:rPr>
          <w:rFonts w:ascii="Arial" w:cs="Arial" w:eastAsia="Arial" w:hAnsi="Arial"/>
          <w:sz w:val="18"/>
          <w:szCs w:val="18"/>
          <w:color w:val="auto"/>
        </w:rPr>
        <w:t>. This Statement requires an enterprise to perform additional analyses to assess variable interest entities (VIE’s) and the enterprise’s involvement with these entities, as well provide additional disclosures. SFAS 167 will be effective for Itron on January 1, 2010. We do not expect SFAS 167 to have a material impact to our consolidated financial statements. (The guidance in SFAS 167 is now embedded within ASC 810.)</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FASB issued Accounting Standards Update (ASU) 2009-5, </w:t>
      </w:r>
      <w:r>
        <w:rPr>
          <w:rFonts w:ascii="Arial" w:cs="Arial" w:eastAsia="Arial" w:hAnsi="Arial"/>
          <w:sz w:val="18"/>
          <w:szCs w:val="18"/>
          <w:i w:val="1"/>
          <w:iCs w:val="1"/>
          <w:color w:val="auto"/>
        </w:rPr>
        <w:t>Measuring Liabilities at Fair Value (ASU 2009-5)</w:t>
      </w:r>
      <w:r>
        <w:rPr>
          <w:rFonts w:ascii="Arial" w:cs="Arial" w:eastAsia="Arial" w:hAnsi="Arial"/>
          <w:sz w:val="18"/>
          <w:szCs w:val="18"/>
          <w:color w:val="auto"/>
        </w:rPr>
        <w:t>, in August 2009. ASU 2009-5 reaffirms that fair value measurement of a liability assumes the transfer of a liability to a market participant as of the measurement date and is therefore presumed to continue and is not settled with the counterparty. This ASU also states that the fair value measurement of a liability includes nonperformance risk and that such risk does not change after transfer of the liability. ASU 2009-5 will be effective for us on October 1, 2009, and we do not expect it to have a material impact on our consolidated financial statements.</w:t>
      </w:r>
    </w:p>
    <w:p>
      <w:pPr>
        <w:spacing w:after="0" w:line="21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October 2009, the FASB issued ASU No. 2009-13, </w:t>
      </w:r>
      <w:r>
        <w:rPr>
          <w:rFonts w:ascii="Arial" w:cs="Arial" w:eastAsia="Arial" w:hAnsi="Arial"/>
          <w:sz w:val="17"/>
          <w:szCs w:val="17"/>
          <w:i w:val="1"/>
          <w:iCs w:val="1"/>
          <w:color w:val="auto"/>
        </w:rPr>
        <w:t>Revenue Recognition (Topic 605) – Multiple-Deliverable Revenue Arrangements (a consensus of the</w:t>
      </w:r>
      <w:r>
        <w:rPr>
          <w:rFonts w:ascii="Arial" w:cs="Arial" w:eastAsia="Arial" w:hAnsi="Arial"/>
          <w:sz w:val="17"/>
          <w:szCs w:val="17"/>
          <w:color w:val="auto"/>
        </w:rPr>
        <w:t xml:space="preserve"> </w:t>
      </w:r>
      <w:r>
        <w:rPr>
          <w:rFonts w:ascii="Arial" w:cs="Arial" w:eastAsia="Arial" w:hAnsi="Arial"/>
          <w:sz w:val="17"/>
          <w:szCs w:val="17"/>
          <w:i w:val="1"/>
          <w:iCs w:val="1"/>
          <w:color w:val="auto"/>
        </w:rPr>
        <w:t>FASB Emerging Issues Tax Force</w:t>
      </w:r>
      <w:r>
        <w:rPr>
          <w:rFonts w:ascii="Arial" w:cs="Arial" w:eastAsia="Arial" w:hAnsi="Arial"/>
          <w:sz w:val="17"/>
          <w:szCs w:val="17"/>
          <w:color w:val="auto"/>
        </w:rPr>
        <w:t>) (ASU 2009-13). The objective of ASU 2009-13 is to address the accounting for multiple-deliverable arrangements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(previously known as EITF 00-21) to enable vendors to account for more products or services separately rather than as a combined unit. The hierarchy for establishing a selling price has been increased and consists of the following: (1) vendor specific objective evidence (VSOE), if available, (2) third party evidence (TPE), if VSOE is not available, and (3) estimated selling price, if VSOE and TPE are not available. The amendments in ASU 2009-13 will also (1) replace the term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with </w:t>
      </w:r>
      <w:r>
        <w:rPr>
          <w:rFonts w:ascii="Arial" w:cs="Arial" w:eastAsia="Arial" w:hAnsi="Arial"/>
          <w:sz w:val="17"/>
          <w:szCs w:val="17"/>
          <w:i w:val="1"/>
          <w:iCs w:val="1"/>
          <w:color w:val="auto"/>
        </w:rPr>
        <w:t>selling price</w:t>
      </w:r>
      <w:r>
        <w:rPr>
          <w:rFonts w:ascii="Arial" w:cs="Arial" w:eastAsia="Arial" w:hAnsi="Arial"/>
          <w:sz w:val="17"/>
          <w:szCs w:val="17"/>
          <w:color w:val="auto"/>
        </w:rPr>
        <w:t xml:space="preserve"> to clarify that the allocation of revenue is based on entity-specific assumptions rather than assumptions of a market-place participant; and (2) eliminate the residual value method of allocation and require that arrangement consideration be allocated at the inception of the arrangement to all deliverables using the relative selling price method. ASU 2009-13 also requires additional disclosures about an entity’s multiple-deliverable contracts. ASU 2009-13 is effective for us on January 1, 2011, with early adoption permitted. We are currently considering an early adoption of this guidance on January 1, 2010, to be applied on a prospective basis. We do not expect ASU 2009-13 to have a material impact on our consolidated financial statements.</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Concurrent with the issuance of ASU 2009-13, the FASB issued ASU No. 2009-14, </w:t>
      </w:r>
      <w:r>
        <w:rPr>
          <w:rFonts w:ascii="Arial" w:cs="Arial" w:eastAsia="Arial" w:hAnsi="Arial"/>
          <w:sz w:val="18"/>
          <w:szCs w:val="18"/>
          <w:i w:val="1"/>
          <w:iCs w:val="1"/>
          <w:color w:val="auto"/>
        </w:rPr>
        <w:t>Software (Topic 985), Certain Revenue Arrangements That Include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Software Elements (a consensus of the FASB Emerging Issues Task Force) </w:t>
      </w:r>
      <w:r>
        <w:rPr>
          <w:rFonts w:ascii="Arial" w:cs="Arial" w:eastAsia="Arial" w:hAnsi="Arial"/>
          <w:sz w:val="18"/>
          <w:szCs w:val="18"/>
          <w:color w:val="auto"/>
        </w:rPr>
        <w:t>(ASU 2009-14). ASU 2009-14 affects revenue arrangements that include both</w:t>
      </w:r>
      <w:r>
        <w:rPr>
          <w:rFonts w:ascii="Arial" w:cs="Arial" w:eastAsia="Arial" w:hAnsi="Arial"/>
          <w:sz w:val="18"/>
          <w:szCs w:val="18"/>
          <w:i w:val="1"/>
          <w:iCs w:val="1"/>
          <w:color w:val="auto"/>
        </w:rPr>
        <w:t xml:space="preserve"> </w:t>
      </w:r>
      <w:r>
        <w:rPr>
          <w:rFonts w:ascii="Arial" w:cs="Arial" w:eastAsia="Arial" w:hAnsi="Arial"/>
          <w:sz w:val="18"/>
          <w:szCs w:val="18"/>
          <w:color w:val="auto"/>
        </w:rPr>
        <w:t>tangible products and software elements, and it provides a scope exception from software revenue recognition guidance in ASC 985-605 (previously known as SOP 97-2) for tangible products containing software and non-software components that function together to deliver the tangible product’s essential functionality. Revenue arrangements that are affected by this guidance will still be subject to the disclosure requirements of ASU 2009-13, as applicable. ASU 2009-14 is effective for us on January 1, 2011, with early adoption permitted. We are currently considering an early adoption of this guidance on January 1, 2010, to be applied on a prospective basis. ASU 2009-14 may impact the timing of revenue for our tangible hardware products sold under new arrangements in the future.</w:t>
      </w:r>
    </w:p>
    <w:p>
      <w:pPr>
        <w:sectPr>
          <w:pgSz w:w="11900" w:h="16838" w:orient="portrait"/>
          <w:cols w:equalWidth="0" w:num="1">
            <w:col w:w="11420"/>
          </w:cols>
          <w:pgMar w:left="240" w:top="122" w:right="239" w:bottom="1440" w:gutter="0" w:footer="0" w:header="0"/>
        </w:sectPr>
      </w:pP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Per Share and Capital Structure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(EPS):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200" w:type="dxa"/>
            <w:vAlign w:val="bottom"/>
            <w:gridSpan w:val="6"/>
          </w:tcPr>
          <w:p>
            <w:pPr>
              <w:ind w:left="140"/>
              <w:spacing w:after="0"/>
              <w:rPr>
                <w:sz w:val="20"/>
                <w:szCs w:val="20"/>
                <w:color w:val="auto"/>
              </w:rPr>
            </w:pPr>
            <w:r>
              <w:rPr>
                <w:rFonts w:ascii="Arial" w:cs="Arial" w:eastAsia="Arial" w:hAnsi="Arial"/>
                <w:sz w:val="18"/>
                <w:szCs w:val="18"/>
                <w:b w:val="1"/>
                <w:bCs w:val="1"/>
                <w:color w:val="auto"/>
                <w:w w:val="99"/>
              </w:rPr>
              <w:t>Three Months Ended September 30,</w:t>
            </w:r>
          </w:p>
        </w:tc>
        <w:tc>
          <w:tcPr>
            <w:tcW w:w="140" w:type="dxa"/>
            <w:vAlign w:val="bottom"/>
          </w:tcPr>
          <w:p>
            <w:pPr>
              <w:spacing w:after="0"/>
              <w:rPr>
                <w:sz w:val="20"/>
                <w:szCs w:val="20"/>
                <w:color w:val="auto"/>
              </w:rPr>
            </w:pPr>
          </w:p>
        </w:tc>
        <w:tc>
          <w:tcPr>
            <w:tcW w:w="302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5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w w:val="88"/>
              </w:rPr>
              <w:t>(in thousands, except per share data)</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available to common shareholders</w:t>
            </w:r>
          </w:p>
        </w:tc>
        <w:tc>
          <w:tcPr>
            <w:tcW w:w="960" w:type="dxa"/>
            <w:vAlign w:val="bottom"/>
            <w:shd w:val="clear" w:color="auto" w:fill="CCEEFF"/>
          </w:tcPr>
          <w:p>
            <w:pPr>
              <w:jc w:val="right"/>
              <w:ind w:right="799"/>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(2,962)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40,039</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34,385</w:t>
            </w:r>
          </w:p>
        </w:tc>
        <w:tc>
          <w:tcPr>
            <w:tcW w:w="1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38,003</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ind w:left="440"/>
              <w:spacing w:after="0"/>
              <w:rPr>
                <w:sz w:val="20"/>
                <w:szCs w:val="20"/>
                <w:color w:val="auto"/>
              </w:rPr>
            </w:pPr>
            <w:r>
              <w:rPr>
                <w:rFonts w:ascii="Arial" w:cs="Arial" w:eastAsia="Arial" w:hAnsi="Arial"/>
                <w:sz w:val="18"/>
                <w:szCs w:val="18"/>
                <w:color w:val="auto"/>
              </w:rPr>
              <w:t>Dilutive effect of stock-based awards</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Dilutive effect of convertible notes</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1,727</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40" w:type="dxa"/>
            <w:vAlign w:val="bottom"/>
            <w:tcBorders>
              <w:right w:val="single" w:sz="8" w:color="CCEEFF"/>
            </w:tcBorders>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96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40,039</w:t>
            </w:r>
          </w:p>
        </w:tc>
        <w:tc>
          <w:tcPr>
            <w:tcW w:w="1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36,872</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38,003</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34,991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960" w:type="dxa"/>
            <w:vAlign w:val="bottom"/>
            <w:shd w:val="clear" w:color="auto" w:fill="CCEEFF"/>
          </w:tcPr>
          <w:p>
            <w:pPr>
              <w:jc w:val="right"/>
              <w:ind w:right="799"/>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960" w:type="dxa"/>
            <w:vAlign w:val="bottom"/>
          </w:tcPr>
          <w:p>
            <w:pPr>
              <w:jc w:val="right"/>
              <w:ind w:right="799"/>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(0.19)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Common Stock</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2009, we completed exchanges with certain holders of our convertible notes in which we issued, in the aggregate, approximately 2.3 million shares of common stock valued at $132.9 million, in exchange for, in the aggregate, $121.0 million principal amount of the convertible notes. See Note 6 for a further discussion.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On June 3, 2009, we completed a public offering of approximately 3.2 million shares of common stock for net proceeds of $160.4 million.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As a result of our net loss for the nine months ended September 30, 2009, there was no dilutive effect to the weighted average common shares outstanding. Approximately 1.0 million and 268,000 stock-based awards were excluded from the calculation of diluted EPS for the three months ended September 30, 2009 and 2008, and approximately 1.0 million and 170,000 stock-based awards were excluded from the calculation of diluted EPS for the nine months ended September 30, 2009 and 2008 because they were anti-dilutive. These stock-based awards could be dilutive in future periods.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required, pursuant to the indenture for the convertible notes, to settle the principal amount of the convertible notes in cash and may elect to settle the remaining conversion obligation (stock price in excess of conversion price) in cash, shares, or a combination. We include the amount of shares it would take to satisfy the conversion obligation, assuming that all of the convertible notes are converted. The average closing prices of our common stock for the three and nine months ended September 30, 2009 and 2008 were used as the basis for determining the dilutive effect on EPS. The average price of our common stock for the three and nine months ended September 30, 2009 did not exceed the conversion price of $65.16 and, therefore, did not have an effect on diluted EPS. The average price of our common stock for the three and nine months ended September 30, 2008 exceeded the conversion price of $65.16 and, therefore, approximately 1.7 million and 1.6 million shares, respectively, were included as dilutive shares in the calculation of diluted EPS.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Shares of preferred stock may be converted into common stock based on terms, conditions, rates, and subject to such adjustments as set by the Board of Directors. There was no preferred stock sold or outstanding at September 30, 2009 and December 31, 2008.</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46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w:t>
              </w:r>
            </w:hyperlink>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Note 3:  Certain Balance Sheet Components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i w:val="1"/>
                <w:iCs w:val="1"/>
                <w:color w:val="auto"/>
              </w:rPr>
              <w:t>Accounts receivable, net</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At September 30,</w:t>
            </w:r>
          </w:p>
        </w:tc>
        <w:tc>
          <w:tcPr>
            <w:tcW w:w="10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700" w:type="dxa"/>
            <w:vAlign w:val="bottom"/>
            <w:gridSpan w:val="4"/>
          </w:tcPr>
          <w:p>
            <w:pPr>
              <w:jc w:val="right"/>
              <w:ind w:right="97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Trade receivables (net of allowance of $6,904 and $5,954)</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304,443</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Unbilled revenue</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20,676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14,685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accounts receivable, net</w:t>
            </w: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325,119</w:t>
            </w:r>
          </w:p>
        </w:tc>
        <w:tc>
          <w:tcPr>
            <w:tcW w:w="1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060" w:type="dxa"/>
            <w:vAlign w:val="bottom"/>
            <w:gridSpan w:val="5"/>
          </w:tcPr>
          <w:p>
            <w:pPr>
              <w:spacing w:after="0"/>
              <w:rPr>
                <w:sz w:val="20"/>
                <w:szCs w:val="20"/>
                <w:color w:val="auto"/>
              </w:rPr>
            </w:pPr>
            <w:r>
              <w:rPr>
                <w:rFonts w:ascii="Arial" w:cs="Arial" w:eastAsia="Arial" w:hAnsi="Arial"/>
                <w:sz w:val="18"/>
                <w:szCs w:val="18"/>
                <w:color w:val="auto"/>
              </w:rPr>
              <w:t>A summary of the allowance for doubtful accounts activity is as follows: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w w:val="95"/>
              </w:rPr>
              <w:t>Three Months Ended September 30,</w:t>
            </w:r>
          </w:p>
        </w:tc>
        <w:tc>
          <w:tcPr>
            <w:tcW w:w="140" w:type="dxa"/>
            <w:vAlign w:val="bottom"/>
          </w:tcPr>
          <w:p>
            <w:pPr>
              <w:spacing w:after="0"/>
              <w:rPr>
                <w:sz w:val="24"/>
                <w:szCs w:val="24"/>
                <w:color w:val="auto"/>
              </w:rPr>
            </w:pPr>
          </w:p>
        </w:tc>
        <w:tc>
          <w:tcPr>
            <w:tcW w:w="30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6"/>
          </w:tcPr>
          <w:p>
            <w:pPr>
              <w:jc w:val="right"/>
              <w:ind w:right="112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4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7,271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40"/>
              <w:spacing w:after="0"/>
              <w:rPr>
                <w:sz w:val="20"/>
                <w:szCs w:val="20"/>
                <w:color w:val="auto"/>
              </w:rPr>
            </w:pPr>
            <w:r>
              <w:rPr>
                <w:rFonts w:ascii="Arial" w:cs="Arial" w:eastAsia="Arial" w:hAnsi="Arial"/>
                <w:sz w:val="18"/>
                <w:szCs w:val="18"/>
                <w:color w:val="auto"/>
              </w:rPr>
              <w:t>Actaris acquisition opening balance/adjustments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Provision for (release of) doubtful accounts, net</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(378)</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440"/>
              <w:spacing w:after="0"/>
              <w:rPr>
                <w:sz w:val="20"/>
                <w:szCs w:val="20"/>
                <w:color w:val="auto"/>
              </w:rPr>
            </w:pPr>
            <w:r>
              <w:rPr>
                <w:rFonts w:ascii="Arial" w:cs="Arial" w:eastAsia="Arial" w:hAnsi="Arial"/>
                <w:sz w:val="18"/>
                <w:szCs w:val="18"/>
                <w:color w:val="auto"/>
              </w:rPr>
              <w:t>Accounts written off</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Effects of change in exchange rates</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4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Ending balance, September 30</w:t>
            </w:r>
          </w:p>
        </w:tc>
        <w:tc>
          <w:tcPr>
            <w:tcW w:w="420" w:type="dxa"/>
            <w:vAlign w:val="bottom"/>
          </w:tcPr>
          <w:p>
            <w:pPr>
              <w:spacing w:after="0"/>
              <w:rPr>
                <w:sz w:val="18"/>
                <w:szCs w:val="18"/>
                <w:color w:val="auto"/>
              </w:rPr>
            </w:pP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6,904</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6,304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6,904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600" w:type="dxa"/>
            <w:vAlign w:val="bottom"/>
            <w:gridSpan w:val="2"/>
          </w:tcPr>
          <w:p>
            <w:pPr>
              <w:ind w:left="120"/>
              <w:spacing w:after="0"/>
              <w:rPr>
                <w:sz w:val="20"/>
                <w:szCs w:val="20"/>
                <w:color w:val="auto"/>
              </w:rPr>
            </w:pPr>
            <w:r>
              <w:rPr>
                <w:rFonts w:ascii="Arial" w:cs="Arial" w:eastAsia="Arial" w:hAnsi="Arial"/>
                <w:sz w:val="18"/>
                <w:szCs w:val="18"/>
                <w:i w:val="1"/>
                <w:iCs w:val="1"/>
                <w:color w:val="auto"/>
              </w:rPr>
              <w:t>Inventories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1"/>
              </w:rPr>
              <w:t>At September 30,</w:t>
            </w:r>
          </w:p>
        </w:tc>
        <w:tc>
          <w:tcPr>
            <w:tcW w:w="10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9"/>
              </w:rPr>
              <w:t>2009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700" w:type="dxa"/>
            <w:vAlign w:val="bottom"/>
            <w:gridSpan w:val="4"/>
          </w:tcPr>
          <w:p>
            <w:pPr>
              <w:jc w:val="right"/>
              <w:ind w:right="97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Materials</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90,836</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Work in process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18,186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68,744</w:t>
            </w:r>
          </w:p>
        </w:tc>
        <w:tc>
          <w:tcPr>
            <w:tcW w:w="1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60" w:type="dxa"/>
            <w:vAlign w:val="bottom"/>
          </w:tcPr>
          <w:p>
            <w:pPr>
              <w:ind w:left="420"/>
              <w:spacing w:after="0"/>
              <w:rPr>
                <w:sz w:val="20"/>
                <w:szCs w:val="20"/>
                <w:color w:val="auto"/>
              </w:rPr>
            </w:pPr>
            <w:r>
              <w:rPr>
                <w:rFonts w:ascii="Arial" w:cs="Arial" w:eastAsia="Arial" w:hAnsi="Arial"/>
                <w:sz w:val="18"/>
                <w:szCs w:val="18"/>
                <w:color w:val="auto"/>
              </w:rPr>
              <w:t>Total inventories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177,766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164,210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inventory levels may vary period to period as a result of our factory scheduling and timing of contract fulfillments.</w:t>
      </w:r>
    </w:p>
    <w:p>
      <w:pPr>
        <w:spacing w:after="0" w:line="25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Consigned inventory is held at third-party locations; however, we retain title to the inventory until purchased by the third-party. Consigned inventory, consisting of raw materials and finished goods, was $13.6 million and $19.1 million at September 30, 2009 and December 31, 2008,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ind w:left="140"/>
              <w:spacing w:after="0"/>
              <w:rPr>
                <w:sz w:val="20"/>
                <w:szCs w:val="20"/>
                <w:color w:val="auto"/>
              </w:rPr>
            </w:pPr>
            <w:r>
              <w:rPr>
                <w:rFonts w:ascii="Arial" w:cs="Arial" w:eastAsia="Arial" w:hAnsi="Arial"/>
                <w:sz w:val="18"/>
                <w:szCs w:val="18"/>
                <w:i w:val="1"/>
                <w:iCs w:val="1"/>
                <w:color w:val="auto"/>
              </w:rPr>
              <w:t>Property, plant, and equipment, net</w:t>
            </w:r>
          </w:p>
        </w:tc>
        <w:tc>
          <w:tcPr>
            <w:tcW w:w="16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5"/>
              </w:rPr>
              <w:t>At 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At December 31,</w:t>
            </w:r>
          </w:p>
        </w:tc>
      </w:tr>
      <w:tr>
        <w:trPr>
          <w:trHeight w:val="241"/>
        </w:trPr>
        <w:tc>
          <w:tcPr>
            <w:tcW w:w="8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6"/>
        </w:trPr>
        <w:tc>
          <w:tcPr>
            <w:tcW w:w="8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700" w:type="dxa"/>
            <w:vAlign w:val="bottom"/>
            <w:gridSpan w:val="4"/>
          </w:tcPr>
          <w:p>
            <w:pPr>
              <w:jc w:val="right"/>
              <w:ind w:right="97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232,778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195,677</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Computers and purchased software</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65,131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58,505</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Buildings, furniture, and improvements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132,195</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Land</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37,522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33,702</w:t>
            </w:r>
          </w:p>
        </w:tc>
      </w:tr>
      <w:tr>
        <w:trPr>
          <w:trHeight w:val="223"/>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 including purchased equipment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30,632</w:t>
            </w:r>
          </w:p>
        </w:tc>
      </w:tr>
      <w:tr>
        <w:trPr>
          <w:trHeight w:val="216"/>
        </w:trPr>
        <w:tc>
          <w:tcPr>
            <w:tcW w:w="812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Total cost</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498,485</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450,711</w:t>
            </w:r>
          </w:p>
        </w:tc>
        <w:tc>
          <w:tcPr>
            <w:tcW w:w="100" w:type="dxa"/>
            <w:vAlign w:val="bottom"/>
            <w:tcBorders>
              <w:top w:val="single" w:sz="8" w:color="CCEEFF"/>
            </w:tcBorders>
          </w:tcPr>
          <w:p>
            <w:pPr>
              <w:spacing w:after="0"/>
              <w:rPr>
                <w:sz w:val="18"/>
                <w:szCs w:val="18"/>
                <w:color w:val="auto"/>
              </w:rPr>
            </w:pPr>
          </w:p>
        </w:tc>
      </w:tr>
      <w:tr>
        <w:trPr>
          <w:trHeight w:val="216"/>
        </w:trPr>
        <w:tc>
          <w:tcPr>
            <w:tcW w:w="8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depreciation</w:t>
            </w: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(142,994)</w:t>
            </w:r>
          </w:p>
        </w:tc>
      </w:tr>
      <w:tr>
        <w:trPr>
          <w:trHeight w:val="27"/>
        </w:trPr>
        <w:tc>
          <w:tcPr>
            <w:tcW w:w="8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120" w:type="dxa"/>
            <w:vAlign w:val="bottom"/>
          </w:tcPr>
          <w:p>
            <w:pPr>
              <w:ind w:left="2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315,967</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307,717</w:t>
            </w:r>
          </w:p>
        </w:tc>
      </w:tr>
      <w:tr>
        <w:trPr>
          <w:trHeight w:val="21"/>
        </w:trPr>
        <w:tc>
          <w:tcPr>
            <w:tcW w:w="8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$14.3 million and $13.5 million for the three months ended September 30, 2009 and 2008, and $41.0 million and $40.2 million for each of the nine months ended September 30, 2009 and 2008,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At September 30, 2009</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b w:val="1"/>
                <w:bCs w:val="1"/>
                <w:color w:val="auto"/>
              </w:rPr>
              <w:t>At December 31, 2008</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00"/>
              <w:spacing w:after="0" w:line="198" w:lineRule="exact"/>
              <w:rPr>
                <w:sz w:val="20"/>
                <w:szCs w:val="20"/>
                <w:color w:val="auto"/>
              </w:rPr>
            </w:pPr>
            <w:r>
              <w:rPr>
                <w:rFonts w:ascii="Arial" w:cs="Arial" w:eastAsia="Arial" w:hAnsi="Arial"/>
                <w:sz w:val="18"/>
                <w:szCs w:val="18"/>
                <w:b w:val="1"/>
                <w:bCs w:val="1"/>
                <w:color w:val="auto"/>
                <w:w w:val="90"/>
              </w:rPr>
              <w:t>Accumulated</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2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4"/>
              </w:rPr>
              <w:t>Gross Assets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2"/>
              </w:rPr>
              <w:t>Amortization</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4"/>
              </w:rPr>
              <w:t>Gross Assets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Amortization</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Net</w:t>
            </w:r>
          </w:p>
        </w:tc>
        <w:tc>
          <w:tcPr>
            <w:tcW w:w="100" w:type="dxa"/>
            <w:vAlign w:val="bottom"/>
          </w:tcPr>
          <w:p>
            <w:pPr>
              <w:spacing w:after="0"/>
              <w:rPr>
                <w:sz w:val="20"/>
                <w:szCs w:val="20"/>
                <w:color w:val="auto"/>
              </w:rPr>
            </w:pPr>
          </w:p>
        </w:tc>
      </w:tr>
      <w:tr>
        <w:trPr>
          <w:trHeight w:val="216"/>
        </w:trPr>
        <w:tc>
          <w:tcPr>
            <w:tcW w:w="2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5"/>
          </w:tcPr>
          <w:p>
            <w:pPr>
              <w:ind w:left="42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Core-developed technology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401,827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(232,546)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169,281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394,912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(188,953)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205,959</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w w:val="98"/>
              </w:rPr>
              <w:t>Customer contracts and relationships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310,356</w:t>
            </w: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(84,726)</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225,630</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299,928</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(56,966)</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242,962</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78,250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(55,552)</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22,698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76,766</w:t>
            </w:r>
          </w:p>
        </w:tc>
        <w:tc>
          <w:tcPr>
            <w:tcW w:w="1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(45,851)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30,915</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(23,272)</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1,527</w:t>
            </w:r>
          </w:p>
        </w:tc>
        <w:tc>
          <w:tcPr>
            <w:tcW w:w="1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24,630</w:t>
            </w:r>
          </w:p>
        </w:tc>
        <w:tc>
          <w:tcPr>
            <w:tcW w:w="1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(22,580)</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2,050</w:t>
            </w:r>
          </w:p>
        </w:tc>
      </w:tr>
      <w:tr>
        <w:trPr>
          <w:trHeight w:val="27"/>
        </w:trPr>
        <w:tc>
          <w:tcPr>
            <w:tcW w:w="2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2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intangible assets</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815,232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(396,096)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796,236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(314,350)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481,886</w:t>
            </w: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2"/>
          </w:tcPr>
          <w:p>
            <w:pPr>
              <w:spacing w:after="0"/>
              <w:rPr>
                <w:sz w:val="20"/>
                <w:szCs w:val="20"/>
                <w:color w:val="auto"/>
              </w:rPr>
            </w:pPr>
            <w:r>
              <w:rPr>
                <w:rFonts w:ascii="Arial" w:cs="Arial" w:eastAsia="Arial" w:hAnsi="Arial"/>
                <w:sz w:val="18"/>
                <w:szCs w:val="18"/>
                <w:color w:val="auto"/>
                <w:w w:val="99"/>
              </w:rPr>
              <w:t>A summary of the intangible asset account activity is as follows: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0"/>
              </w:rPr>
              <w:t>Three Months Ended September 30,</w:t>
            </w:r>
          </w:p>
        </w:tc>
        <w:tc>
          <w:tcPr>
            <w:tcW w:w="140" w:type="dxa"/>
            <w:vAlign w:val="bottom"/>
          </w:tcPr>
          <w:p>
            <w:pPr>
              <w:spacing w:after="0"/>
              <w:rPr>
                <w:sz w:val="24"/>
                <w:szCs w:val="24"/>
                <w:color w:val="auto"/>
              </w:rPr>
            </w:pPr>
          </w:p>
        </w:tc>
        <w:tc>
          <w:tcPr>
            <w:tcW w:w="30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intangible assets, gross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792,551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864,049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796,236</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560"/>
              <w:spacing w:after="0"/>
              <w:rPr>
                <w:sz w:val="20"/>
                <w:szCs w:val="20"/>
                <w:color w:val="auto"/>
              </w:rPr>
            </w:pPr>
            <w:r>
              <w:rPr>
                <w:rFonts w:ascii="Arial" w:cs="Arial" w:eastAsia="Arial" w:hAnsi="Arial"/>
                <w:sz w:val="18"/>
                <w:szCs w:val="18"/>
                <w:color w:val="auto"/>
              </w:rPr>
              <w:t>Adjustment of previous acquisitions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Effect of change in exchange rates</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22,681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(49,053)</w:t>
            </w:r>
          </w:p>
        </w:tc>
        <w:tc>
          <w:tcPr>
            <w:tcW w:w="140" w:type="dxa"/>
            <w:vAlign w:val="bottom"/>
            <w:shd w:val="clear" w:color="auto" w:fill="CCEEFF"/>
          </w:tcPr>
          <w:p>
            <w:pPr>
              <w:spacing w:after="0"/>
              <w:rPr>
                <w:sz w:val="18"/>
                <w:szCs w:val="18"/>
                <w:color w:val="auto"/>
              </w:rPr>
            </w:pPr>
          </w:p>
        </w:tc>
        <w:tc>
          <w:tcPr>
            <w:tcW w:w="144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18,996</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40" w:type="dxa"/>
            <w:vAlign w:val="bottom"/>
            <w:tcBorders>
              <w:right w:val="single" w:sz="8" w:color="CCEEFF"/>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Ending balance, intangible assets, gross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815,232</w:t>
            </w:r>
          </w:p>
        </w:tc>
        <w:tc>
          <w:tcPr>
            <w:tcW w:w="1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814,996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815,232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814,996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first quarter of 2008, intangible assets were adjusted by $70.0 million based on our completion of the fair value assessment associated with the Actaris Metering Systems SA (Actaris) acquisition in 2007.</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are recorded in the functional currency of our international subsidiaries; therefore, the carrying amount of intangible assets increase or decrease, with a corresponding change in accumulated other comprehensive income, due to changes in foreign currency exchange rates. Intangible asset amortization expense was $25.1 million and $30.4 million for the three months ended September 30, 2009 and 2008, and $72.8 million and $93.1 million for the nine months ended September 30, 2009 and 2008,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20" w:type="dxa"/>
            <w:vAlign w:val="bottom"/>
          </w:tcPr>
          <w:p>
            <w:pPr>
              <w:spacing w:after="0"/>
              <w:rPr>
                <w:sz w:val="20"/>
                <w:szCs w:val="20"/>
                <w:color w:val="auto"/>
              </w:rPr>
            </w:pPr>
            <w:r>
              <w:rPr>
                <w:rFonts w:ascii="Arial" w:cs="Arial" w:eastAsia="Arial" w:hAnsi="Arial"/>
                <w:sz w:val="18"/>
                <w:szCs w:val="18"/>
                <w:color w:val="auto"/>
              </w:rPr>
              <w:t>Estimated future annual amortization expense is as follows: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9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Estimated Annual</w:t>
            </w:r>
          </w:p>
        </w:tc>
      </w:tr>
      <w:tr>
        <w:trPr>
          <w:trHeight w:val="241"/>
        </w:trPr>
        <w:tc>
          <w:tcPr>
            <w:tcW w:w="972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Amortization</w:t>
            </w:r>
          </w:p>
        </w:tc>
      </w:tr>
      <w:tr>
        <w:trPr>
          <w:trHeight w:val="216"/>
        </w:trPr>
        <w:tc>
          <w:tcPr>
            <w:tcW w:w="9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2009 (amount remaining at September 30, 2009)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25,609</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2010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74,253</w:t>
            </w: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63,550</w:t>
            </w:r>
          </w:p>
        </w:tc>
      </w:tr>
      <w:tr>
        <w:trPr>
          <w:trHeight w:val="216"/>
        </w:trPr>
        <w:tc>
          <w:tcPr>
            <w:tcW w:w="9720" w:type="dxa"/>
            <w:vAlign w:val="bottom"/>
          </w:tcPr>
          <w:p>
            <w:pPr>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49,201</w:t>
            </w:r>
          </w:p>
        </w:tc>
      </w:tr>
      <w:tr>
        <w:trPr>
          <w:trHeight w:val="216"/>
        </w:trPr>
        <w:tc>
          <w:tcPr>
            <w:tcW w:w="97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39,901</w:t>
            </w:r>
          </w:p>
        </w:tc>
      </w:tr>
      <w:tr>
        <w:trPr>
          <w:trHeight w:val="223"/>
        </w:trPr>
        <w:tc>
          <w:tcPr>
            <w:tcW w:w="9720" w:type="dxa"/>
            <w:vAlign w:val="bottom"/>
          </w:tcPr>
          <w:p>
            <w:pPr>
              <w:spacing w:after="0"/>
              <w:rPr>
                <w:sz w:val="20"/>
                <w:szCs w:val="20"/>
                <w:color w:val="auto"/>
              </w:rPr>
            </w:pPr>
            <w:r>
              <w:rPr>
                <w:rFonts w:ascii="Arial" w:cs="Arial" w:eastAsia="Arial" w:hAnsi="Arial"/>
                <w:sz w:val="18"/>
                <w:szCs w:val="18"/>
                <w:color w:val="auto"/>
              </w:rPr>
              <w:t>Beyond 2013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166,622</w:t>
            </w:r>
          </w:p>
        </w:tc>
        <w:tc>
          <w:tcPr>
            <w:tcW w:w="100" w:type="dxa"/>
            <w:vAlign w:val="bottom"/>
          </w:tcPr>
          <w:p>
            <w:pPr>
              <w:spacing w:after="0"/>
              <w:rPr>
                <w:sz w:val="19"/>
                <w:szCs w:val="19"/>
                <w:color w:val="auto"/>
              </w:rPr>
            </w:pPr>
          </w:p>
        </w:tc>
      </w:tr>
      <w:tr>
        <w:trPr>
          <w:trHeight w:val="237"/>
        </w:trPr>
        <w:tc>
          <w:tcPr>
            <w:tcW w:w="9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intangible assets, net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419,136</w:t>
            </w:r>
          </w:p>
        </w:tc>
      </w:tr>
      <w:tr>
        <w:trPr>
          <w:trHeight w:val="20"/>
        </w:trPr>
        <w:tc>
          <w:tcPr>
            <w:tcW w:w="9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at September 30, 2009 and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Itron North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America</w:t>
            </w:r>
          </w:p>
        </w:tc>
        <w:tc>
          <w:tcPr>
            <w:tcW w:w="1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Itron International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Total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January 1, 2008</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185,869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1,080,264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Adjustment of previous acquisitions</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55,370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change in exchange rates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Goodwill balance at September 30, 2008</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185,206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1,131,698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1,316,904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Goodwill balance at January 1, 2009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184,535</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1,101,318</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1,285,853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 of previous acquisitions</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Effect of change in exchange rates</w:t>
            </w:r>
          </w:p>
        </w:tc>
        <w:tc>
          <w:tcPr>
            <w:tcW w:w="2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34,747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35,979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Goodwill balance at September 30, 2009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187,867</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1,136,065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2009, we made refinements to our management reporting and geographic reporting structure between our International and North America operations. Itron North America now includes sales of gas and water meters in North America, which were previously part of Itron International. The allocation of goodwill to our reporting units is based on our current segment reporting structure; therefore we have reallocated $57.5 million between the operating segments. Historical segment information has been restated from the segment information previously provided to conform to our current segment reporting structure after the refinement.</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2009, $2.1 million of contingent consideration became payable associated with two acquisitions in 2006, which is reflected as </w:t>
      </w:r>
      <w:r>
        <w:rPr>
          <w:rFonts w:ascii="Arial" w:cs="Arial" w:eastAsia="Arial" w:hAnsi="Arial"/>
          <w:sz w:val="18"/>
          <w:szCs w:val="18"/>
          <w:i w:val="1"/>
          <w:iCs w:val="1"/>
          <w:color w:val="auto"/>
        </w:rPr>
        <w:t>adjustment of previous</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acquisitions</w:t>
      </w:r>
      <w:r>
        <w:rPr>
          <w:rFonts w:ascii="Arial" w:cs="Arial" w:eastAsia="Arial" w:hAnsi="Arial"/>
          <w:sz w:val="18"/>
          <w:szCs w:val="18"/>
          <w:color w:val="auto"/>
        </w:rPr>
        <w:t>.</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2008, the </w:t>
      </w:r>
      <w:r>
        <w:rPr>
          <w:rFonts w:ascii="Arial" w:cs="Arial" w:eastAsia="Arial" w:hAnsi="Arial"/>
          <w:sz w:val="18"/>
          <w:szCs w:val="18"/>
          <w:i w:val="1"/>
          <w:iCs w:val="1"/>
          <w:color w:val="auto"/>
        </w:rPr>
        <w:t>adjustment of previous acquisitions</w:t>
      </w:r>
      <w:r>
        <w:rPr>
          <w:rFonts w:ascii="Arial" w:cs="Arial" w:eastAsia="Arial" w:hAnsi="Arial"/>
          <w:sz w:val="18"/>
          <w:szCs w:val="18"/>
          <w:color w:val="auto"/>
        </w:rPr>
        <w:t xml:space="preserve"> represents an adjustment to goodwill associated with the 2007 Actaris acquisition based on our final determination of fair values of certain assets acquired and liabilities assumed.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2"/>
          </w:tcPr>
          <w:p>
            <w:pPr>
              <w:spacing w:after="0"/>
              <w:rPr>
                <w:sz w:val="20"/>
                <w:szCs w:val="20"/>
                <w:color w:val="auto"/>
              </w:rPr>
            </w:pPr>
            <w:r>
              <w:rPr>
                <w:rFonts w:ascii="Arial" w:cs="Arial" w:eastAsia="Arial" w:hAnsi="Arial"/>
                <w:sz w:val="18"/>
                <w:szCs w:val="18"/>
                <w:b w:val="1"/>
                <w:bCs w:val="1"/>
                <w:color w:val="auto"/>
              </w:rPr>
              <w:t>Note 6:  Debt</w:t>
            </w:r>
          </w:p>
        </w:tc>
        <w:tc>
          <w:tcPr>
            <w:tcW w:w="3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640" w:type="dxa"/>
            <w:vAlign w:val="bottom"/>
            <w:gridSpan w:val="2"/>
          </w:tcPr>
          <w:p>
            <w:pPr>
              <w:spacing w:after="0"/>
              <w:rPr>
                <w:sz w:val="20"/>
                <w:szCs w:val="20"/>
                <w:color w:val="auto"/>
              </w:rPr>
            </w:pPr>
            <w:r>
              <w:rPr>
                <w:rFonts w:ascii="Arial" w:cs="Arial" w:eastAsia="Arial" w:hAnsi="Arial"/>
                <w:sz w:val="18"/>
                <w:szCs w:val="18"/>
                <w:color w:val="auto"/>
              </w:rPr>
              <w:t>The components of our borrowings are as follows:</w:t>
            </w:r>
          </w:p>
        </w:tc>
        <w:tc>
          <w:tcPr>
            <w:tcW w:w="3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6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At 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40" w:type="dxa"/>
            <w:vAlign w:val="bottom"/>
            <w:gridSpan w:val="2"/>
            <w:vMerge w:val="restart"/>
          </w:tcPr>
          <w:p>
            <w:pPr>
              <w:spacing w:after="0"/>
              <w:rPr>
                <w:sz w:val="20"/>
                <w:szCs w:val="20"/>
                <w:color w:val="auto"/>
              </w:rPr>
            </w:pPr>
            <w:r>
              <w:rPr>
                <w:rFonts w:ascii="Arial" w:cs="Arial" w:eastAsia="Arial" w:hAnsi="Arial"/>
                <w:sz w:val="18"/>
                <w:szCs w:val="18"/>
                <w:color w:val="auto"/>
              </w:rPr>
              <w:t>Term loans</w:t>
            </w:r>
          </w:p>
        </w:tc>
        <w:tc>
          <w:tcPr>
            <w:tcW w:w="3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ind w:left="720"/>
              <w:spacing w:after="0"/>
              <w:rPr>
                <w:sz w:val="20"/>
                <w:szCs w:val="20"/>
                <w:color w:val="auto"/>
              </w:rPr>
            </w:pPr>
            <w:r>
              <w:rPr>
                <w:rFonts w:ascii="Arial" w:cs="Arial" w:eastAsia="Arial" w:hAnsi="Arial"/>
                <w:sz w:val="18"/>
                <w:szCs w:val="18"/>
                <w:b w:val="1"/>
                <w:bCs w:val="1"/>
                <w:color w:val="auto"/>
              </w:rPr>
              <w:t>(in</w:t>
            </w:r>
          </w:p>
        </w:tc>
        <w:tc>
          <w:tcPr>
            <w:tcW w:w="1700" w:type="dxa"/>
            <w:vAlign w:val="bottom"/>
            <w:gridSpan w:val="4"/>
          </w:tcPr>
          <w:p>
            <w:pPr>
              <w:jc w:val="right"/>
              <w:ind w:right="97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40" w:type="dxa"/>
            <w:vAlign w:val="bottom"/>
            <w:gridSpan w:val="2"/>
            <w:vMerge w:val="continue"/>
          </w:tcPr>
          <w:p>
            <w:pPr>
              <w:spacing w:after="0"/>
              <w:rPr>
                <w:sz w:val="17"/>
                <w:szCs w:val="17"/>
                <w:color w:val="auto"/>
              </w:rPr>
            </w:pPr>
          </w:p>
        </w:tc>
        <w:tc>
          <w:tcPr>
            <w:tcW w:w="3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USD denominated term loan</w:t>
            </w:r>
          </w:p>
        </w:tc>
        <w:tc>
          <w:tcPr>
            <w:tcW w:w="3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301,205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40"/>
              <w:spacing w:after="0"/>
              <w:rPr>
                <w:sz w:val="20"/>
                <w:szCs w:val="20"/>
                <w:color w:val="auto"/>
              </w:rPr>
            </w:pPr>
            <w:r>
              <w:rPr>
                <w:rFonts w:ascii="Arial" w:cs="Arial" w:eastAsia="Arial" w:hAnsi="Arial"/>
                <w:sz w:val="18"/>
                <w:szCs w:val="18"/>
                <w:color w:val="auto"/>
              </w:rPr>
              <w:t>EUR denominated term loan</w:t>
            </w: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316,981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360,494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Convertible senior subordinated notes</w:t>
            </w:r>
          </w:p>
        </w:tc>
        <w:tc>
          <w:tcPr>
            <w:tcW w:w="3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205,758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Senior subordinated notes</w:t>
            </w: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109,192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823,944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3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(10,953)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(10,769)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348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812,991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1,140,998</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620" w:type="dxa"/>
            <w:vAlign w:val="bottom"/>
            <w:tcBorders>
              <w:top w:val="single" w:sz="8" w:color="CCEEFF"/>
            </w:tcBorders>
          </w:tcPr>
          <w:p>
            <w:pPr>
              <w:spacing w:after="0"/>
              <w:rPr>
                <w:sz w:val="24"/>
                <w:szCs w:val="24"/>
                <w:color w:val="auto"/>
              </w:rPr>
            </w:pPr>
          </w:p>
        </w:tc>
        <w:tc>
          <w:tcPr>
            <w:tcW w:w="3480" w:type="dxa"/>
            <w:vAlign w:val="bottom"/>
            <w:tcBorders>
              <w:top w:val="single" w:sz="8" w:color="CCEEFF"/>
            </w:tcBorders>
          </w:tcPr>
          <w:p>
            <w:pPr>
              <w:jc w:val="right"/>
              <w:ind w:right="2230"/>
              <w:spacing w:after="0"/>
              <w:rPr>
                <w:sz w:val="20"/>
                <w:szCs w:val="20"/>
                <w:color w:val="auto"/>
              </w:rPr>
            </w:pPr>
            <w:r>
              <w:rPr>
                <w:rFonts w:ascii="Arial" w:cs="Arial" w:eastAsia="Arial" w:hAnsi="Arial"/>
                <w:sz w:val="18"/>
                <w:szCs w:val="18"/>
                <w:color w:val="auto"/>
              </w:rPr>
              <w:t>13</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20" w:type="dxa"/>
            <w:vAlign w:val="bottom"/>
            <w:tcBorders>
              <w:bottom w:val="single" w:sz="8" w:color="808080"/>
            </w:tcBorders>
          </w:tcPr>
          <w:p>
            <w:pPr>
              <w:spacing w:after="0"/>
              <w:rPr>
                <w:sz w:val="10"/>
                <w:szCs w:val="10"/>
                <w:color w:val="auto"/>
              </w:rPr>
            </w:pPr>
          </w:p>
        </w:tc>
        <w:tc>
          <w:tcPr>
            <w:tcW w:w="348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Credit Facility</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Actaris acquisition in 2007 was financed in part by a $1.2 billion credit facility. The credit facility, dated April 18, 2007, was composed of a $605.1 million first lien U.S. dollar denominated term loan; a €335 million first lien euro denominated term loan; a £50 million first lien pound sterling denominated term loan (collectively the term loans); and a $115 million multicurrency revolving line-of-credit (revolver). Our loan balances denominated in currencies other than the U.S. dollar fluctuate due to currency exchange rates. The principal balance of our euro denominated term loan at September 30, 2009 and December 31, 2008 was €216.6 million and €254.1 million, respectively. Interest rates on the credit facility are based on the respective borrowing’s denominated London Interbank Offered Rate (LIBOR) or the Wells Fargo Bank, National Association’s prime rate, plus an additional margin subject to our consolidated leverage ratio. The additional interest rate margin was 3.75% at September 30, 2009 and 1.75% at December 31, 2008. Our interest rates were 4.02% for the U.S. dollar denominated and 4.87% for the euro denominated term loans at September 30, 2009. Scheduled amortization of principal payments is 1% per year (0.25% quarterly) with an excess cash flow provision for additional annual principal repayment requirements. Maturities of the term loans and multicurrency revolver are seven years and six years from the date of issuance, respectively. The credit facility is secured by substantially all of the assets of Itron, Inc., our operating subsidiaries, except our international subsidiaries, and includes covenants, which contain certain financial ratios and place restrictions on the incurrence of debt, the payment of dividends, certain investments, incurrence of capital expenditures above a set limit, and mergers. On April 24, 2009, we amended our credit facility to adjust the maximum total leverage ratio and the minimum interest coverage ratio thresholds to increase operational flexibility. The amendment also allows us to seek a $75 million increase to the $115 million multicurrency revolving line-of-credit without further amendment. The current lending participants may then choose to increase their level of participation or approve the participation of additional lenders. (The amendment was filed with the SEC on April 27, 2009 as Exhibit 4.1 to our Current Report on Form 8-K.) Prepaid debt fees of approximately $3.7 million were capitalized for the amendment and legal and advisory fees of $1.5 million were expensed as the amendment did not substantially modify the original terms of the loan. At September 30, 2009, we were in compliance with the debt covenants under this credit facility.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2009, there were no borrowings outstanding under the revolver and $48.4 million was utilized by outstanding standby letters of credit resulting in $66.6 million being available for additional borrowings.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repaid $57.0 million and $127.2 million of the term loans during the three and nine months end September 30, 2009, respectively. Repayments of $24.6 million and $369.0 million were made during the three and nine months ended September 30, 2008, respectively.</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Senior Subordinated Notes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May 2004, we issued $125 million of 7.75% senior subordinated notes (subordinated notes), which were discounted to a price of 99.265 to yield 7.875%. On July 17, 2009, we paid $113.2 million, including accrued interest of $1.5 million, to redeem all of our subordinated notes. The subordinated notes had a remaining principal value of $109.6 million and were due May 2012. We redeemed the notes at 101.938% of the principal amount, and recognized a loss on extinguishment of $2.5 million, which included the remaining unamortized debt discount of $336,000. Unamortized prepaid debt fees of $2.0 million were recorded to interest expense.</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4, 2006, we issued $345 million of 2.50% convertible notes due August 2026. Fixed interest payments are required every six months, in February and August of each year. For each six month period beginning August 2011, contingent interest payments of approximately 0.19% of the average trading price of the convertible notes will be made if certain thresholds and events are met, as outlined in the indenture. The convertible notes are registered with the SEC and are generally transferable. Our convertible notes are not considered conventional convertible debt as the number of shares, or cash, to be received by the holders was not fixed at the inception of the obligation. We have concluded that the conversion feature of our convertible notes does not need to be bifurcated from the host contract and accounted for as a freestanding derivative, as the conversion feature is indexed to our own stock and would be classified within stockholders’ equity if it were a freestanding instrument.</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convertible notes may be converted at the option of the holder at a conversion rate of 15.3478 shares of our common stock for each $1,000 principal amount of the convertible notes, under the following circumstances, as defined in the indenture (filed with the SEC on November 6, 2006 as Exhibit 4.16 to our Quarterly Report on Form 10-Q):</w:t>
      </w:r>
    </w:p>
    <w:p>
      <w:pPr>
        <w:spacing w:after="0" w:line="181" w:lineRule="exact"/>
        <w:rPr>
          <w:sz w:val="20"/>
          <w:szCs w:val="20"/>
          <w:color w:val="auto"/>
        </w:rPr>
      </w:pPr>
    </w:p>
    <w:p>
      <w:pPr>
        <w:ind w:left="980" w:hanging="972"/>
        <w:spacing w:after="0" w:line="258"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closing sale price per share of our common stock exceeds $78.19, which is 120% of the conversion price of $65.16, for at least 20 trading days in the 30 consecutive trading day period ending on the last trading day of the preceding fiscal quarter;</w:t>
      </w:r>
    </w:p>
    <w:p>
      <w:pPr>
        <w:spacing w:after="0" w:line="1"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between July 1, 2011 and August 1, 2011, and any time after August 1, 2024;</w:t>
      </w:r>
    </w:p>
    <w:p>
      <w:pPr>
        <w:spacing w:after="0" w:line="9" w:lineRule="exact"/>
        <w:rPr>
          <w:rFonts w:ascii="Arial" w:cs="Arial" w:eastAsia="Arial" w:hAnsi="Arial"/>
          <w:sz w:val="18"/>
          <w:szCs w:val="18"/>
          <w:color w:val="auto"/>
        </w:rPr>
      </w:pPr>
    </w:p>
    <w:p>
      <w:pPr>
        <w:ind w:left="980" w:hanging="972"/>
        <w:spacing w:after="0" w:line="250"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five business days after any five consecutive trading day period in which the trading price of the convertible notes for each day was less than 98% of the conversion value of the convertible notes;</w:t>
      </w: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convertible notes are called for redemption;</w:t>
      </w:r>
    </w:p>
    <w:p>
      <w:pPr>
        <w:spacing w:after="0" w:line="9"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a fundamental change occurs; or</w:t>
      </w:r>
    </w:p>
    <w:p>
      <w:pPr>
        <w:spacing w:after="0" w:line="9" w:lineRule="exact"/>
        <w:rPr>
          <w:rFonts w:ascii="Arial" w:cs="Arial" w:eastAsia="Arial" w:hAnsi="Arial"/>
          <w:sz w:val="18"/>
          <w:szCs w:val="18"/>
          <w:color w:val="auto"/>
        </w:rPr>
      </w:pPr>
    </w:p>
    <w:p>
      <w:pPr>
        <w:ind w:left="980" w:hanging="972"/>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upon the occurrence of defined corporate events.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amount payable upon conversion is the result of a formula based on the closing prices of our common stock for 20 consecutive trading days following the date of the conversion notice. Based on the conversion ratio of 15.3478 shares per $1,000 principal amount of the convertible notes, if our stock price is lower than the conversion price of $65.16, the amount payable will be less than the $1,000 principal amount and will be settled in cash. Our closing stock price at September 30, 2009 was $64.14.</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Upon conversion, the principal amount of the convertible notes will be settled in cash and, at our option, the remaining conversion obligation (stock price in excess of conversion price) may be settled in cash, shares, or a combination. The conversion rate for the convertible notes is subject to adjustment upon the occurrence of certain corporate events, as defined in the indenture, to ensure that the economic rights of the convertible note holders are preserved.</w:t>
      </w:r>
    </w:p>
    <w:p>
      <w:pPr>
        <w:spacing w:after="0" w:line="17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convertible notes also contain purchase options, at the option of the holders, which if exercised would require us to repurchase all or a portion of the convertible notes on August 1, 2011, August 1, 2016, and August 1, 2021 at 100% of the principal amount, plus accrued and unpaid interest.</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or after August 1, 2011, we have the option to redeem all or a portion of the convertible notes at a redemption price equal to 100% of the principal amount plus accrued and unpaid interest.</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convertible notes are unsecured, subordinated to our credit facility (senior secured borrowings), and are guaranteed by all of our operating subsidiaries, except for our international subsidiaries. The convertible notes contain covenants, which place restrictions on the incurrence of debt and certain mergers. We were in compliance with these debt covenants at September 30, 2009.</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our stock price is subject to fluctuation, the contingent conversion threshold may be triggered during any quarter, prior to July 2011, and the notes become convertible. At September 30, 2009 and December 31, 2008, the contingent conversion threshold was not exceeded and, therefore, the aggregate principal amount of the convertible notes is included in long-term debt.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2009, we adopted FSP 14-1, which requires the convertible debt to be separated between its liability and equity components, in a manner that reflects our non-convertible debt borrowing rate and must be applied retroactively to all periods presented. Our non-convertible debt borrowing rate at the time of the issuance of our convertible notes was determined to be 7.38%, which also reflects the effective interest rate on the liability component. See Note 1 for disclosure about the financial statement impact of our adoption of FSP 14-1.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gridSpan w:val="2"/>
          </w:tcPr>
          <w:p>
            <w:pPr>
              <w:spacing w:after="0"/>
              <w:rPr>
                <w:sz w:val="20"/>
                <w:szCs w:val="20"/>
                <w:color w:val="auto"/>
              </w:rPr>
            </w:pPr>
            <w:r>
              <w:rPr>
                <w:rFonts w:ascii="Arial" w:cs="Arial" w:eastAsia="Arial" w:hAnsi="Arial"/>
                <w:sz w:val="18"/>
                <w:szCs w:val="18"/>
                <w:color w:val="auto"/>
              </w:rPr>
              <w:t>The carrying amounts of the debt and equity components are as follows:</w:t>
            </w:r>
          </w:p>
        </w:tc>
        <w:tc>
          <w:tcPr>
            <w:tcW w:w="1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91"/>
              </w:rPr>
              <w:t>At September 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At 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ind w:left="720"/>
              <w:spacing w:after="0"/>
              <w:rPr>
                <w:sz w:val="20"/>
                <w:szCs w:val="20"/>
                <w:color w:val="auto"/>
              </w:rPr>
            </w:pPr>
            <w:r>
              <w:rPr>
                <w:rFonts w:ascii="Arial" w:cs="Arial" w:eastAsia="Arial" w:hAnsi="Arial"/>
                <w:sz w:val="18"/>
                <w:szCs w:val="18"/>
                <w:b w:val="1"/>
                <w:bCs w:val="1"/>
                <w:color w:val="auto"/>
              </w:rPr>
              <w:t>(in</w:t>
            </w:r>
          </w:p>
        </w:tc>
        <w:tc>
          <w:tcPr>
            <w:tcW w:w="1700" w:type="dxa"/>
            <w:vAlign w:val="bottom"/>
            <w:gridSpan w:val="4"/>
          </w:tcPr>
          <w:p>
            <w:pPr>
              <w:jc w:val="right"/>
              <w:ind w:right="97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Face value of convertible debt</w:t>
            </w:r>
          </w:p>
        </w:tc>
        <w:tc>
          <w:tcPr>
            <w:tcW w:w="18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223,604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Unamortized discount</w:t>
            </w: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(17,846)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(38,251)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carrying amount of debt component</w:t>
            </w:r>
          </w:p>
        </w:tc>
        <w:tc>
          <w:tcPr>
            <w:tcW w:w="146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205,758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306,337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of equity component</w:t>
            </w:r>
          </w:p>
        </w:tc>
        <w:tc>
          <w:tcPr>
            <w:tcW w:w="14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31,831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relating to both the contractual interest coupon and amortization of the discount on the liability component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20" w:type="dxa"/>
            <w:vAlign w:val="bottom"/>
            <w:gridSpan w:val="6"/>
          </w:tcPr>
          <w:p>
            <w:pPr>
              <w:ind w:left="160"/>
              <w:spacing w:after="0"/>
              <w:rPr>
                <w:sz w:val="20"/>
                <w:szCs w:val="20"/>
                <w:color w:val="auto"/>
              </w:rPr>
            </w:pPr>
            <w:r>
              <w:rPr>
                <w:rFonts w:ascii="Arial" w:cs="Arial" w:eastAsia="Arial" w:hAnsi="Arial"/>
                <w:sz w:val="18"/>
                <w:szCs w:val="18"/>
                <w:b w:val="1"/>
                <w:bCs w:val="1"/>
                <w:color w:val="auto"/>
                <w:w w:val="99"/>
              </w:rPr>
              <w:t>Three Months Ended September 30,</w:t>
            </w:r>
          </w:p>
        </w:tc>
        <w:tc>
          <w:tcPr>
            <w:tcW w:w="140" w:type="dxa"/>
            <w:vAlign w:val="bottom"/>
          </w:tcPr>
          <w:p>
            <w:pPr>
              <w:spacing w:after="0"/>
              <w:rPr>
                <w:sz w:val="20"/>
                <w:szCs w:val="20"/>
                <w:color w:val="auto"/>
              </w:rPr>
            </w:pPr>
          </w:p>
        </w:tc>
        <w:tc>
          <w:tcPr>
            <w:tcW w:w="3020" w:type="dxa"/>
            <w:vAlign w:val="bottom"/>
            <w:gridSpan w:val="5"/>
          </w:tcPr>
          <w:p>
            <w:pPr>
              <w:ind w:left="4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Contractual interest coupon</w:t>
            </w:r>
          </w:p>
        </w:tc>
        <w:tc>
          <w:tcPr>
            <w:tcW w:w="15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Amortization of the discount on the liability component</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2,367</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3,393</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3,765</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combination of put, call, and conversion options that are part of the terms of the convertible note agreement, the remaining discount on the liability component will be amortized over 21 months.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quarter of 2009, we entered into exchange agreements with certain holders of our convertible notes to issue, in the aggregate, approximately 2.3 million shares of common stock, valued at $132.9 million, in exchange for, in the aggregate, $121.0 million principal amount of the convertible notes, representing 35% of the aggregate principal outstanding at the date of the exchanges. All of the convertible notes we acquired pursuant to the exchange agreements were retired upon the closing of the exchanges.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exchange agreements were treated as induced conversions as the holders received a greater number of shares of common stock than would have been issued under the original conversion terms of the convertible notes. At the time of the exchange agreements, none of the conversion contingencies were met. Under the original terms of the convertible notes, the amount payable on conversion was to be paid in cash, and the remaining conversion obligation (stock price in excess of conversion price) was payable in cash or shares, at our option. Under the terms of the exchange agreements, all of the settlement was paid in shares. The difference in the value of the shares of common stock sold under the exchange agreement and the value of the shares used to derive the amount payable under the original conversion agreement resulted in a loss on extinguishment of debt of $23.3 million (the inducement loss). As required by FSP 14-1, upon derecognition of the convertible notes, we remeasured the fair value of the liability and equity components using a borrowing rate for similar non-convertible debt that would be applicable to us at the date of the exchange agreements. Because borrowing rates increased, the remeasurement of the components of the convertible notes resulted in a gain on extinguishment of $13.4 million (the revaluation gain). As a result, we recognized a net loss on extinguishment of debt of $10.3 million, calculated as the inducement loss, plus an allocation of advisory fees less the revaluation gain.</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Prepaid Debt Fees &amp; Accrued Interest Expense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lives of the respective borrowings using the effective interest method. When debt is repaid early, or first becomes convertible as in the case of our convertible notes, the related portion of unamortized prepaid debt fees is written-off and included in interest expense. Total unamortized prepaid debt fees were $10.4 million and $12.9 million at September 30, 2009 and December 31, 2008, respectively. Accrued interest expense was $900,000 and $4.5 million at September 30, 2009 and December 31, 2008, respectively.</w:t>
      </w:r>
    </w:p>
    <w:p>
      <w:pPr>
        <w:spacing w:after="0" w:line="21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 and Hedging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12, and Note 13 for additional disclosures on our derivative instruments.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fair values of our derivative instruments are determined using the income approach and significant other observable inputs (also known as “Level 2”), as defined by ASC 820-10-20,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We have used observable market inputs based on the type of derivative and the nature of the underlying instrument. The key inputs used at September 30, 2009 included interest rate yield curves (swap rates and futures) and foreign exchange spot and forward rates, all of which are available in an active market. We have utilized the mid-market pricing convention for these inputs at September 30, 2009.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 We have considered our own nonperformance risk by discounting our derivative liabilities to reflect the potential credit risk to our counterparty by applying a current market indicative credit spread to all cash flows.</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values of our derivative instruments determined using the fair value measurement of significant other observable inputs (Level 2) at September 30, 2009 and December 31, 2008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Fair Value</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w w:val="97"/>
              </w:rPr>
              <w:t>At September 30,</w:t>
            </w:r>
          </w:p>
        </w:tc>
        <w:tc>
          <w:tcPr>
            <w:tcW w:w="1360" w:type="dxa"/>
            <w:vAlign w:val="bottom"/>
            <w:gridSpan w:val="2"/>
          </w:tcPr>
          <w:p>
            <w:pPr>
              <w:jc w:val="right"/>
              <w:spacing w:after="0" w:line="198" w:lineRule="exact"/>
              <w:rPr>
                <w:sz w:val="20"/>
                <w:szCs w:val="20"/>
                <w:color w:val="auto"/>
              </w:rPr>
            </w:pPr>
            <w:r>
              <w:rPr>
                <w:rFonts w:ascii="Arial" w:cs="Arial" w:eastAsia="Arial" w:hAnsi="Arial"/>
                <w:sz w:val="18"/>
                <w:szCs w:val="18"/>
                <w:b w:val="1"/>
                <w:bCs w:val="1"/>
                <w:color w:val="auto"/>
                <w:w w:val="92"/>
              </w:rPr>
              <w:t>At 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8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Asset Derivatives</w:t>
            </w:r>
          </w:p>
        </w:tc>
        <w:tc>
          <w:tcPr>
            <w:tcW w:w="2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1"/>
              </w:rPr>
              <w:t>Derivatives not designated as hedging instruments under ASC 815-20</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exchange forward contracts</w:t>
            </w:r>
          </w:p>
        </w:tc>
        <w:tc>
          <w:tcPr>
            <w:tcW w:w="2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current assets</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Liability Derivatives</w:t>
            </w:r>
          </w:p>
        </w:tc>
        <w:tc>
          <w:tcPr>
            <w:tcW w:w="28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w w:val="96"/>
              </w:rPr>
              <w:t>Derivatives designated as hedging instruments under ASC 815-20</w:t>
            </w: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rate swap contracts</w:t>
            </w:r>
          </w:p>
        </w:tc>
        <w:tc>
          <w:tcPr>
            <w:tcW w:w="2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current liabilities</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(13,141)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Interest rate swap contracts</w:t>
            </w:r>
          </w:p>
        </w:tc>
        <w:tc>
          <w:tcPr>
            <w:tcW w:w="2860" w:type="dxa"/>
            <w:vAlign w:val="bottom"/>
          </w:tcPr>
          <w:p>
            <w:pPr>
              <w:ind w:left="560"/>
              <w:spacing w:after="0"/>
              <w:rPr>
                <w:sz w:val="20"/>
                <w:szCs w:val="20"/>
                <w:color w:val="auto"/>
              </w:rPr>
            </w:pPr>
            <w:r>
              <w:rPr>
                <w:rFonts w:ascii="Arial" w:cs="Arial" w:eastAsia="Arial" w:hAnsi="Arial"/>
                <w:sz w:val="18"/>
                <w:szCs w:val="18"/>
                <w:color w:val="auto"/>
              </w:rPr>
              <w:t>Long-term other obligations</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(4,997)</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(8,723)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286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Current portion of long-term</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Euro denominated term loan *</w:t>
            </w:r>
          </w:p>
        </w:tc>
        <w:tc>
          <w:tcPr>
            <w:tcW w:w="28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debt</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(4,902)</w:t>
            </w:r>
          </w:p>
        </w:tc>
        <w:tc>
          <w:tcPr>
            <w:tcW w:w="4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Euro denominated term loan *</w:t>
            </w:r>
          </w:p>
        </w:tc>
        <w:tc>
          <w:tcPr>
            <w:tcW w:w="2860" w:type="dxa"/>
            <w:vAlign w:val="bottom"/>
          </w:tcPr>
          <w:p>
            <w:pPr>
              <w:ind w:left="56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(312,079)</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(355,742)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Total derivatives designated as hedging instruments under Subtopic 815-20</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(335,119)</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(377,989)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Borders>
              <w:top w:val="single" w:sz="8" w:color="CCEEFF"/>
            </w:tcBorders>
          </w:tcPr>
          <w:p>
            <w:pPr>
              <w:spacing w:after="0"/>
              <w:rPr>
                <w:sz w:val="18"/>
                <w:szCs w:val="18"/>
                <w:color w:val="auto"/>
              </w:rPr>
            </w:pPr>
          </w:p>
        </w:tc>
        <w:tc>
          <w:tcPr>
            <w:tcW w:w="28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1"/>
              </w:rPr>
              <w:t>Derivatives not designated as hedging instruments under ASC 815-20</w:t>
            </w: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Pr>
          <w:p>
            <w:pPr>
              <w:ind w:left="120"/>
              <w:spacing w:after="0"/>
              <w:rPr>
                <w:sz w:val="20"/>
                <w:szCs w:val="20"/>
                <w:color w:val="auto"/>
              </w:rPr>
            </w:pPr>
            <w:r>
              <w:rPr>
                <w:rFonts w:ascii="Arial" w:cs="Arial" w:eastAsia="Arial" w:hAnsi="Arial"/>
                <w:sz w:val="18"/>
                <w:szCs w:val="18"/>
                <w:color w:val="auto"/>
              </w:rPr>
              <w:t>Foreign exchange forward contracts</w:t>
            </w:r>
          </w:p>
        </w:tc>
        <w:tc>
          <w:tcPr>
            <w:tcW w:w="2860" w:type="dxa"/>
            <w:vAlign w:val="bottom"/>
          </w:tcPr>
          <w:p>
            <w:pPr>
              <w:ind w:left="560"/>
              <w:spacing w:after="0"/>
              <w:rPr>
                <w:sz w:val="20"/>
                <w:szCs w:val="20"/>
                <w:color w:val="auto"/>
              </w:rPr>
            </w:pPr>
            <w:r>
              <w:rPr>
                <w:rFonts w:ascii="Arial" w:cs="Arial" w:eastAsia="Arial" w:hAnsi="Arial"/>
                <w:sz w:val="18"/>
                <w:szCs w:val="18"/>
                <w:color w:val="auto"/>
              </w:rPr>
              <w:t>Other current liabilities</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(1,096)</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800"/>
              <w:spacing w:after="0"/>
              <w:rPr>
                <w:sz w:val="20"/>
                <w:szCs w:val="20"/>
                <w:color w:val="auto"/>
              </w:rPr>
            </w:pPr>
            <w:r>
              <w:rPr>
                <w:rFonts w:ascii="Arial" w:cs="Arial" w:eastAsia="Arial" w:hAnsi="Arial"/>
                <w:sz w:val="18"/>
                <w:szCs w:val="18"/>
                <w:b w:val="1"/>
                <w:bCs w:val="1"/>
                <w:color w:val="auto"/>
              </w:rPr>
              <w:t>Total liability derivatives</w:t>
            </w:r>
          </w:p>
        </w:tc>
        <w:tc>
          <w:tcPr>
            <w:tcW w:w="286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(336,215)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(378,056)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8"/>
        <w:spacing w:after="0" w:line="277" w:lineRule="auto"/>
        <w:tabs>
          <w:tab w:leader="none" w:pos="171"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euro denominated term loan is a nonderivative financial instrument designated as a hedge of our net investment in international operations. It is recorded at the carrying value in the Consolidated Balance Sheets and not recorded at fair value.</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comprehensive income (loss) during the reporting period for our derivative and nonderivative instruments designated as hedging instruments (collectively, hedging instruments), net of tax,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60" w:type="dxa"/>
            <w:vAlign w:val="bottom"/>
            <w:gridSpan w:val="4"/>
          </w:tcPr>
          <w:p>
            <w:pPr>
              <w:jc w:val="right"/>
              <w:ind w:right="61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instruments at January 1,</w:t>
            </w:r>
          </w:p>
        </w:tc>
        <w:tc>
          <w:tcPr>
            <w:tcW w:w="2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(29,734)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Unrealized gain (loss) on derivative instruments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Unrealized loss on a nonderivative hedging instrument</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100"/>
              <w:spacing w:after="0"/>
              <w:rPr>
                <w:sz w:val="20"/>
                <w:szCs w:val="20"/>
                <w:color w:val="auto"/>
              </w:rPr>
            </w:pPr>
            <w:r>
              <w:rPr>
                <w:rFonts w:ascii="Arial" w:cs="Arial" w:eastAsia="Arial" w:hAnsi="Arial"/>
                <w:sz w:val="18"/>
                <w:szCs w:val="18"/>
                <w:color w:val="auto"/>
              </w:rPr>
              <w:t>Realized (gains) losses reclassified into net income (loss)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6,025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 on hedging instruments at September 30,</w:t>
            </w:r>
          </w:p>
        </w:tc>
        <w:tc>
          <w:tcPr>
            <w:tcW w:w="2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(35,291)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We are exposed to interest rate risk through our credit facility. We enter into swaps to achieve a fixed rate of interest on the hedged portion of debt in order to increase our ability to forecast interest expense. The objective of these swaps is to protect us from increases in borrowing rates on our floating rate credit facility.</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one-year pay-fixed receive one-month LIBOR interest rate swaps to convert $200 million of our U.S. dollar term loan from a floating interest rate to a fixed interest rate,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40" w:type="dxa"/>
            <w:vAlign w:val="bottom"/>
          </w:tcPr>
          <w:p>
            <w:pPr>
              <w:spacing w:after="0"/>
              <w:rPr>
                <w:sz w:val="20"/>
                <w:szCs w:val="20"/>
                <w:color w:val="auto"/>
              </w:rPr>
            </w:pPr>
            <w:r>
              <w:rPr>
                <w:rFonts w:ascii="Arial" w:cs="Arial" w:eastAsia="Arial" w:hAnsi="Arial"/>
                <w:sz w:val="18"/>
                <w:szCs w:val="18"/>
                <w:b w:val="1"/>
                <w:bCs w:val="1"/>
                <w:color w:val="auto"/>
              </w:rPr>
              <w:t>Transaction Date</w:t>
            </w:r>
          </w:p>
        </w:tc>
        <w:tc>
          <w:tcPr>
            <w:tcW w:w="4620" w:type="dxa"/>
            <w:vAlign w:val="bottom"/>
          </w:tcPr>
          <w:p>
            <w:pPr>
              <w:jc w:val="center"/>
              <w:ind w:left="630"/>
              <w:spacing w:after="0"/>
              <w:rPr>
                <w:sz w:val="20"/>
                <w:szCs w:val="20"/>
                <w:color w:val="auto"/>
              </w:rPr>
            </w:pPr>
            <w:r>
              <w:rPr>
                <w:rFonts w:ascii="Arial" w:cs="Arial" w:eastAsia="Arial" w:hAnsi="Arial"/>
                <w:sz w:val="18"/>
                <w:szCs w:val="18"/>
                <w:b w:val="1"/>
                <w:bCs w:val="1"/>
                <w:color w:val="auto"/>
                <w:w w:val="90"/>
              </w:rPr>
              <w:t>Effective Date of Swap</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ind w:left="40"/>
              <w:spacing w:after="0"/>
              <w:rPr>
                <w:sz w:val="20"/>
                <w:szCs w:val="20"/>
                <w:color w:val="auto"/>
              </w:rPr>
            </w:pPr>
            <w:r>
              <w:rPr>
                <w:rFonts w:ascii="Arial" w:cs="Arial" w:eastAsia="Arial" w:hAnsi="Arial"/>
                <w:sz w:val="18"/>
                <w:szCs w:val="18"/>
                <w:b w:val="1"/>
                <w:bCs w:val="1"/>
                <w:color w:val="auto"/>
              </w:rPr>
              <w:t>Notional amount</w:t>
            </w:r>
          </w:p>
        </w:tc>
        <w:tc>
          <w:tcPr>
            <w:tcW w:w="1800" w:type="dxa"/>
            <w:vAlign w:val="bottom"/>
            <w:gridSpan w:val="2"/>
          </w:tcPr>
          <w:p>
            <w:pPr>
              <w:ind w:left="100"/>
              <w:spacing w:after="0"/>
              <w:rPr>
                <w:sz w:val="20"/>
                <w:szCs w:val="20"/>
                <w:color w:val="auto"/>
              </w:rPr>
            </w:pPr>
            <w:r>
              <w:rPr>
                <w:rFonts w:ascii="Arial" w:cs="Arial" w:eastAsia="Arial" w:hAnsi="Arial"/>
                <w:sz w:val="18"/>
                <w:szCs w:val="18"/>
                <w:b w:val="1"/>
                <w:bCs w:val="1"/>
                <w:color w:val="auto"/>
              </w:rPr>
              <w:t>Fixed Interest Rate</w:t>
            </w:r>
          </w:p>
        </w:tc>
      </w:tr>
      <w:tr>
        <w:trPr>
          <w:trHeight w:val="216"/>
        </w:trPr>
        <w:tc>
          <w:tcPr>
            <w:tcW w:w="2940" w:type="dxa"/>
            <w:vAlign w:val="bottom"/>
            <w:tcBorders>
              <w:top w:val="single" w:sz="8" w:color="auto"/>
            </w:tcBorders>
          </w:tcPr>
          <w:p>
            <w:pPr>
              <w:spacing w:after="0"/>
              <w:rPr>
                <w:sz w:val="18"/>
                <w:szCs w:val="18"/>
                <w:color w:val="auto"/>
              </w:rPr>
            </w:pPr>
          </w:p>
        </w:tc>
        <w:tc>
          <w:tcPr>
            <w:tcW w:w="4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8"/>
              </w:rPr>
              <w:t>(in thousands)</w:t>
            </w:r>
          </w:p>
        </w:tc>
        <w:tc>
          <w:tcPr>
            <w:tcW w:w="22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June 26, 2008</w:t>
            </w:r>
          </w:p>
        </w:tc>
        <w:tc>
          <w:tcPr>
            <w:tcW w:w="46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88"/>
              </w:rPr>
              <w:t>June 30, 2008 - June 30, 2009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1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October 27, 2008</w:t>
            </w:r>
          </w:p>
        </w:tc>
        <w:tc>
          <w:tcPr>
            <w:tcW w:w="4620" w:type="dxa"/>
            <w:vAlign w:val="bottom"/>
          </w:tcPr>
          <w:p>
            <w:pPr>
              <w:jc w:val="center"/>
              <w:ind w:left="650"/>
              <w:spacing w:after="0"/>
              <w:rPr>
                <w:sz w:val="20"/>
                <w:szCs w:val="20"/>
                <w:color w:val="auto"/>
              </w:rPr>
            </w:pPr>
            <w:r>
              <w:rPr>
                <w:rFonts w:ascii="Arial" w:cs="Arial" w:eastAsia="Arial" w:hAnsi="Arial"/>
                <w:sz w:val="18"/>
                <w:szCs w:val="18"/>
                <w:color w:val="auto"/>
                <w:w w:val="88"/>
              </w:rPr>
              <w:t>June 30, 2009 - June 30, 2010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200,000</w:t>
            </w:r>
          </w:p>
        </w:tc>
        <w:tc>
          <w:tcPr>
            <w:tcW w:w="1700" w:type="dxa"/>
            <w:vAlign w:val="bottom"/>
          </w:tcPr>
          <w:p>
            <w:pPr>
              <w:jc w:val="right"/>
              <w:ind w:right="49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July 1, 2009</w:t>
            </w:r>
          </w:p>
        </w:tc>
        <w:tc>
          <w:tcPr>
            <w:tcW w:w="4620" w:type="dxa"/>
            <w:vAlign w:val="bottom"/>
            <w:shd w:val="clear" w:color="auto" w:fill="CCEEFF"/>
          </w:tcPr>
          <w:p>
            <w:pPr>
              <w:jc w:val="center"/>
              <w:ind w:left="630"/>
              <w:spacing w:after="0"/>
              <w:rPr>
                <w:sz w:val="20"/>
                <w:szCs w:val="20"/>
                <w:color w:val="auto"/>
              </w:rPr>
            </w:pPr>
            <w:r>
              <w:rPr>
                <w:rFonts w:ascii="Arial" w:cs="Arial" w:eastAsia="Arial" w:hAnsi="Arial"/>
                <w:sz w:val="18"/>
                <w:szCs w:val="18"/>
                <w:color w:val="auto"/>
                <w:w w:val="87"/>
              </w:rPr>
              <w:t>June 30, 2010 - June 30, 2011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w:t>
            </w:r>
          </w:p>
        </w:tc>
        <w:tc>
          <w:tcPr>
            <w:tcW w:w="1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July 1, 2009</w:t>
            </w:r>
          </w:p>
        </w:tc>
        <w:tc>
          <w:tcPr>
            <w:tcW w:w="4620" w:type="dxa"/>
            <w:vAlign w:val="bottom"/>
          </w:tcPr>
          <w:p>
            <w:pPr>
              <w:jc w:val="center"/>
              <w:ind w:left="630"/>
              <w:spacing w:after="0"/>
              <w:rPr>
                <w:sz w:val="20"/>
                <w:szCs w:val="20"/>
                <w:color w:val="auto"/>
              </w:rPr>
            </w:pPr>
            <w:r>
              <w:rPr>
                <w:rFonts w:ascii="Arial" w:cs="Arial" w:eastAsia="Arial" w:hAnsi="Arial"/>
                <w:sz w:val="18"/>
                <w:szCs w:val="18"/>
                <w:color w:val="auto"/>
                <w:w w:val="87"/>
              </w:rPr>
              <w:t>June 30, 2010 - June 30, 2011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1700" w:type="dxa"/>
            <w:vAlign w:val="bottom"/>
          </w:tcPr>
          <w:p>
            <w:pPr>
              <w:jc w:val="right"/>
              <w:ind w:right="49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At September 30, 2009, our U.S. dollar term loan had a balance of $301.2 million. The cash flow hedges have been and are expected to be highly effective in achieving offsetting cash flows attributable to the hedged risk through the term of the hedge. Consequently, effective changes in the fair value of the interest rate swap are recorded as a component of OCI and are recognized in earnings when the hedged item affects earnings. The amounts paid or received on the hedge are recognized as adjustments to interest expense. The amount of net losses expected to be reclassified into earnings in the next 12 months is approximately $4.0 million, which was based on the Bloomberg U.S. dollar swap yield curve as of September 30, 2009.</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2007, we entered into a pay-fixed 6.59% receive three-month Euro Interbank Offered Rate (EURIBOR) amortizing interest rate swap to convert a significant portion of our euro denominated variable-rate term loan to fixed-rate debt. The cash flow hedge is currently, and is expected to be, highly effective in achieving offsetting cash flows attributable to the hedged risk through the term of the hedge. Consequently, effective changes in the fair value of the interest rate swap are recorded as a component of OCI and are recognized in earnings when the hedged item affects earnings. The amounts paid or received on the hedge are recognized as adjustments to interest expense. The notional amount of the swap is reduced each quarter and was $280.4 million (€191.6 million) at September 30, 2009. The amount of net losses expected to be reclassified into earnings in the next 12 months is approximately $9.1 million (€6.2 million), which was based on the Bloomberg U.S. dollar swap yield curve as of September 30, 2009.</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 tax effect of our cash flow derivative instruments on the Consolidated Balance Sheets and the Consolidated Statements of Operations for the three and nine months ended September 30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91"/>
              </w:rPr>
              <w:t>Amount of Gain</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87"/>
              </w:rPr>
              <w:t>(Loss) Recognized in</w:t>
            </w:r>
          </w:p>
        </w:tc>
        <w:tc>
          <w:tcPr>
            <w:tcW w:w="32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88"/>
              </w:rPr>
              <w:t>Gain (Loss) Reclassified from</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520"/>
              <w:spacing w:after="0"/>
              <w:rPr>
                <w:sz w:val="20"/>
                <w:szCs w:val="20"/>
                <w:color w:val="auto"/>
              </w:rPr>
            </w:pPr>
            <w:r>
              <w:rPr>
                <w:rFonts w:ascii="Arial" w:cs="Arial" w:eastAsia="Arial" w:hAnsi="Arial"/>
                <w:sz w:val="18"/>
                <w:szCs w:val="18"/>
                <w:b w:val="1"/>
                <w:bCs w:val="1"/>
                <w:color w:val="auto"/>
              </w:rPr>
              <w:t>Derivatives in ASC 815-20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4"/>
              </w:rPr>
              <w:t>OCI on Derivative</w:t>
            </w:r>
          </w:p>
        </w:tc>
        <w:tc>
          <w:tcPr>
            <w:tcW w:w="2320" w:type="dxa"/>
            <w:vAlign w:val="bottom"/>
            <w:gridSpan w:val="5"/>
          </w:tcPr>
          <w:p>
            <w:pPr>
              <w:jc w:val="center"/>
              <w:ind w:left="693"/>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gridSpan w:val="9"/>
          </w:tcPr>
          <w:p>
            <w:pPr>
              <w:ind w:left="80"/>
              <w:spacing w:after="0"/>
              <w:rPr>
                <w:sz w:val="20"/>
                <w:szCs w:val="20"/>
                <w:color w:val="auto"/>
              </w:rPr>
            </w:pPr>
            <w:r>
              <w:rPr>
                <w:rFonts w:ascii="Arial" w:cs="Arial" w:eastAsia="Arial" w:hAnsi="Arial"/>
                <w:sz w:val="18"/>
                <w:szCs w:val="18"/>
                <w:b w:val="1"/>
                <w:bCs w:val="1"/>
                <w:color w:val="auto"/>
                <w:w w:val="94"/>
              </w:rPr>
              <w:t>Gain (Loss) Recognized in Income 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80" w:type="dxa"/>
            <w:vAlign w:val="bottom"/>
          </w:tcPr>
          <w:p>
            <w:pPr>
              <w:ind w:left="240"/>
              <w:spacing w:after="0"/>
              <w:rPr>
                <w:sz w:val="20"/>
                <w:szCs w:val="20"/>
                <w:color w:val="auto"/>
              </w:rPr>
            </w:pPr>
            <w:r>
              <w:rPr>
                <w:rFonts w:ascii="Arial" w:cs="Arial" w:eastAsia="Arial" w:hAnsi="Arial"/>
                <w:sz w:val="18"/>
                <w:szCs w:val="18"/>
                <w:b w:val="1"/>
                <w:bCs w:val="1"/>
                <w:color w:val="auto"/>
                <w:w w:val="97"/>
              </w:rPr>
              <w:t>Cash Flow Hedging Relationships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1"/>
              </w:rPr>
              <w:t>(Effective Portion)</w:t>
            </w:r>
          </w:p>
        </w:tc>
        <w:tc>
          <w:tcPr>
            <w:tcW w:w="3200" w:type="dxa"/>
            <w:vAlign w:val="bottom"/>
            <w:gridSpan w:val="8"/>
          </w:tcPr>
          <w:p>
            <w:pPr>
              <w:jc w:val="center"/>
              <w:ind w:right="100"/>
              <w:spacing w:after="0"/>
              <w:rPr>
                <w:sz w:val="20"/>
                <w:szCs w:val="20"/>
                <w:color w:val="auto"/>
              </w:rPr>
            </w:pPr>
            <w:r>
              <w:rPr>
                <w:rFonts w:ascii="Arial" w:cs="Arial" w:eastAsia="Arial" w:hAnsi="Arial"/>
                <w:sz w:val="18"/>
                <w:szCs w:val="18"/>
                <w:b w:val="1"/>
                <w:bCs w:val="1"/>
                <w:color w:val="auto"/>
                <w:w w:val="93"/>
              </w:rPr>
              <w:t>OCI into Income (Effective Portion)</w:t>
            </w:r>
          </w:p>
        </w:tc>
        <w:tc>
          <w:tcPr>
            <w:tcW w:w="3140" w:type="dxa"/>
            <w:vAlign w:val="bottom"/>
            <w:gridSpan w:val="9"/>
          </w:tcPr>
          <w:p>
            <w:pPr>
              <w:ind w:left="320"/>
              <w:spacing w:after="0"/>
              <w:rPr>
                <w:sz w:val="20"/>
                <w:szCs w:val="20"/>
                <w:color w:val="auto"/>
              </w:rPr>
            </w:pPr>
            <w:r>
              <w:rPr>
                <w:rFonts w:ascii="Arial" w:cs="Arial" w:eastAsia="Arial" w:hAnsi="Arial"/>
                <w:sz w:val="18"/>
                <w:szCs w:val="18"/>
                <w:b w:val="1"/>
                <w:bCs w:val="1"/>
                <w:color w:val="auto"/>
              </w:rPr>
              <w:t>Derivative (Ineffective Portion)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gridSpan w:val="4"/>
          </w:tcPr>
          <w:p>
            <w:pPr>
              <w:ind w:left="38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9"/>
                <w:szCs w:val="19"/>
                <w:color w:val="auto"/>
              </w:rPr>
            </w:pPr>
          </w:p>
        </w:tc>
        <w:tc>
          <w:tcPr>
            <w:tcW w:w="12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Location</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540" w:type="dxa"/>
            <w:vAlign w:val="bottom"/>
            <w:tcBorders>
              <w:top w:val="single" w:sz="8" w:color="auto"/>
              <w:bottom w:val="single" w:sz="8" w:color="auto"/>
            </w:tcBorders>
            <w:gridSpan w:val="5"/>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2008</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5"/>
          </w:tcPr>
          <w:p>
            <w:pPr>
              <w:jc w:val="center"/>
              <w:ind w:right="240"/>
              <w:spacing w:after="0"/>
              <w:rPr>
                <w:sz w:val="20"/>
                <w:szCs w:val="20"/>
                <w:color w:val="auto"/>
              </w:rPr>
            </w:pPr>
            <w:r>
              <w:rPr>
                <w:rFonts w:ascii="Arial" w:cs="Arial" w:eastAsia="Arial" w:hAnsi="Arial"/>
                <w:sz w:val="18"/>
                <w:szCs w:val="18"/>
                <w:color w:val="auto"/>
                <w:w w:val="89"/>
              </w:rPr>
              <w:t>(in thousands)</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60" w:type="dxa"/>
            <w:vAlign w:val="bottom"/>
            <w:gridSpan w:val="5"/>
          </w:tcPr>
          <w:p>
            <w:pPr>
              <w:ind w:left="180"/>
              <w:spacing w:after="0"/>
              <w:rPr>
                <w:sz w:val="20"/>
                <w:szCs w:val="20"/>
                <w:color w:val="auto"/>
              </w:rPr>
            </w:pPr>
            <w:r>
              <w:rPr>
                <w:rFonts w:ascii="Arial" w:cs="Arial" w:eastAsia="Arial" w:hAnsi="Arial"/>
                <w:sz w:val="18"/>
                <w:szCs w:val="18"/>
                <w:color w:val="auto"/>
              </w:rPr>
              <w:t>(in thousands)</w:t>
            </w: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6"/>
          </w:tcPr>
          <w:p>
            <w:pPr>
              <w:jc w:val="center"/>
              <w:ind w:right="260"/>
              <w:spacing w:after="0"/>
              <w:rPr>
                <w:sz w:val="20"/>
                <w:szCs w:val="20"/>
                <w:color w:val="auto"/>
              </w:rPr>
            </w:pPr>
            <w:r>
              <w:rPr>
                <w:rFonts w:ascii="Arial" w:cs="Arial" w:eastAsia="Arial" w:hAnsi="Arial"/>
                <w:sz w:val="18"/>
                <w:szCs w:val="18"/>
                <w:color w:val="auto"/>
                <w:w w:val="89"/>
              </w:rPr>
              <w:t>(in thousands)</w:t>
            </w:r>
          </w:p>
        </w:tc>
        <w:tc>
          <w:tcPr>
            <w:tcW w:w="0" w:type="dxa"/>
            <w:vAlign w:val="bottom"/>
          </w:tcPr>
          <w:p>
            <w:pPr>
              <w:spacing w:after="0"/>
              <w:rPr>
                <w:sz w:val="1"/>
                <w:szCs w:val="1"/>
                <w:color w:val="auto"/>
              </w:rPr>
            </w:pPr>
          </w:p>
        </w:tc>
      </w:tr>
      <w:tr>
        <w:trPr>
          <w:trHeight w:val="202"/>
        </w:trPr>
        <w:tc>
          <w:tcPr>
            <w:tcW w:w="3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Interest rate swap contracts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(4,257)</w:t>
            </w: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Interest expense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(3,808)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124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4"/>
              </w:rPr>
              <w:t>Interest expense</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Nine months ended September 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80" w:type="dxa"/>
            <w:vAlign w:val="bottom"/>
          </w:tcPr>
          <w:p>
            <w:pPr>
              <w:ind w:left="240"/>
              <w:spacing w:after="0"/>
              <w:rPr>
                <w:sz w:val="20"/>
                <w:szCs w:val="20"/>
                <w:color w:val="auto"/>
              </w:rPr>
            </w:pPr>
            <w:r>
              <w:rPr>
                <w:rFonts w:ascii="Arial" w:cs="Arial" w:eastAsia="Arial" w:hAnsi="Arial"/>
                <w:sz w:val="16"/>
                <w:szCs w:val="16"/>
                <w:color w:val="auto"/>
              </w:rPr>
              <w:t>Interest rate swap contracts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(9,753)</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2,459</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Interest expense</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180"/>
              <w:spacing w:after="0"/>
              <w:rPr>
                <w:sz w:val="20"/>
                <w:szCs w:val="20"/>
                <w:color w:val="auto"/>
              </w:rPr>
            </w:pPr>
            <w:r>
              <w:rPr>
                <w:rFonts w:ascii="Arial" w:cs="Arial" w:eastAsia="Arial" w:hAnsi="Arial"/>
                <w:sz w:val="18"/>
                <w:szCs w:val="18"/>
                <w:color w:val="auto"/>
              </w:rPr>
              <w:t>(9,970)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c>
          <w:tcPr>
            <w:tcW w:w="1240" w:type="dxa"/>
            <w:vAlign w:val="bottom"/>
          </w:tcPr>
          <w:p>
            <w:pPr>
              <w:ind w:left="100"/>
              <w:spacing w:after="0"/>
              <w:rPr>
                <w:sz w:val="20"/>
                <w:szCs w:val="20"/>
                <w:color w:val="auto"/>
              </w:rPr>
            </w:pPr>
            <w:r>
              <w:rPr>
                <w:rFonts w:ascii="Arial" w:cs="Arial" w:eastAsia="Arial" w:hAnsi="Arial"/>
                <w:sz w:val="16"/>
                <w:szCs w:val="16"/>
                <w:color w:val="auto"/>
                <w:w w:val="94"/>
              </w:rPr>
              <w:t>Interest expense</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(272)</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2"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Investment Hedges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exposed to foreign exchange risk through our international subsidiaries. As a result of our acquisition of an international company, we entered into a euro denominated term loan, which exposes us to fluctuations in the euro foreign exchange rate. Therefore, we have designated this foreign currency denominated term loan as a hedge of our net investment in international operations. The non-functional currency term loan is revalued into U.S. dollars at each balance sheet date and the changes in value associated with currency fluctuations are recorded as adjustments to long-term debt with offsetting gains and losses recorded in OCI. The notional amount of the term loan is reduced each quarter as a result of repayments and was $317.0 million (€216.6 million) at September 30, 2009. We had no hedge ineffectiveness.</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 tax and net of tax effect of our net investment hedge nonderivative financial instrument on OCI for the three and nine months ended September 30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jc w:val="center"/>
              <w:spacing w:after="0"/>
              <w:rPr>
                <w:sz w:val="20"/>
                <w:szCs w:val="20"/>
                <w:color w:val="auto"/>
              </w:rPr>
            </w:pPr>
            <w:r>
              <w:rPr>
                <w:rFonts w:ascii="Arial" w:cs="Arial" w:eastAsia="Arial" w:hAnsi="Arial"/>
                <w:sz w:val="18"/>
                <w:szCs w:val="18"/>
                <w:b w:val="1"/>
                <w:bCs w:val="1"/>
                <w:color w:val="auto"/>
                <w:w w:val="91"/>
              </w:rPr>
              <w:t>Nonderivative Financial Instruments in ASC 815-20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20" w:type="dxa"/>
            <w:vAlign w:val="bottom"/>
            <w:gridSpan w:val="9"/>
          </w:tcPr>
          <w:p>
            <w:pPr>
              <w:jc w:val="right"/>
              <w:spacing w:after="0"/>
              <w:rPr>
                <w:sz w:val="20"/>
                <w:szCs w:val="20"/>
                <w:color w:val="auto"/>
              </w:rPr>
            </w:pPr>
            <w:r>
              <w:rPr>
                <w:rFonts w:ascii="Arial" w:cs="Arial" w:eastAsia="Arial" w:hAnsi="Arial"/>
                <w:sz w:val="18"/>
                <w:szCs w:val="18"/>
                <w:b w:val="1"/>
                <w:bCs w:val="1"/>
                <w:color w:val="auto"/>
              </w:rPr>
              <w:t>Euro Denominated Term Loan Designated as a Hedge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Net Investment Hedging Relationships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gridSpan w:val="9"/>
          </w:tcPr>
          <w:p>
            <w:pPr>
              <w:jc w:val="right"/>
              <w:ind w:right="110"/>
              <w:spacing w:after="0"/>
              <w:rPr>
                <w:sz w:val="20"/>
                <w:szCs w:val="20"/>
                <w:color w:val="auto"/>
              </w:rPr>
            </w:pPr>
            <w:r>
              <w:rPr>
                <w:rFonts w:ascii="Arial" w:cs="Arial" w:eastAsia="Arial" w:hAnsi="Arial"/>
                <w:sz w:val="18"/>
                <w:szCs w:val="18"/>
                <w:b w:val="1"/>
                <w:bCs w:val="1"/>
                <w:color w:val="auto"/>
              </w:rPr>
              <w:t>of Our Net Investment in International Operations</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September 30,</w:t>
            </w:r>
          </w:p>
        </w:tc>
        <w:tc>
          <w:tcPr>
            <w:tcW w:w="100" w:type="dxa"/>
            <w:vAlign w:val="bottom"/>
          </w:tcPr>
          <w:p>
            <w:pPr>
              <w:spacing w:after="0"/>
              <w:rPr>
                <w:sz w:val="19"/>
                <w:szCs w:val="19"/>
                <w:color w:val="auto"/>
              </w:rPr>
            </w:pPr>
          </w:p>
        </w:tc>
        <w:tc>
          <w:tcPr>
            <w:tcW w:w="282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Nine Months Ended September 30,</w:t>
            </w:r>
          </w:p>
        </w:tc>
        <w:tc>
          <w:tcPr>
            <w:tcW w:w="100" w:type="dxa"/>
            <w:vAlign w:val="bottom"/>
          </w:tcPr>
          <w:p>
            <w:pPr>
              <w:spacing w:after="0"/>
              <w:rPr>
                <w:sz w:val="19"/>
                <w:szCs w:val="19"/>
                <w:color w:val="auto"/>
              </w:rPr>
            </w:pPr>
          </w:p>
        </w:tc>
      </w:tr>
      <w:tr>
        <w:trPr>
          <w:trHeight w:val="223"/>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Gain (loss) recognized in OCI on derivative (Effective Portion)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rPr>
              <w:t>(in</w:t>
            </w:r>
          </w:p>
        </w:tc>
        <w:tc>
          <w:tcPr>
            <w:tcW w:w="1580" w:type="dxa"/>
            <w:vAlign w:val="bottom"/>
            <w:gridSpan w:val="3"/>
          </w:tcPr>
          <w:p>
            <w:pPr>
              <w:jc w:val="center"/>
              <w:ind w:right="910"/>
              <w:spacing w:after="0"/>
              <w:rPr>
                <w:sz w:val="20"/>
                <w:szCs w:val="20"/>
                <w:color w:val="auto"/>
              </w:rPr>
            </w:pPr>
            <w:r>
              <w:rPr>
                <w:rFonts w:ascii="Arial" w:cs="Arial" w:eastAsia="Arial" w:hAnsi="Arial"/>
                <w:sz w:val="16"/>
                <w:szCs w:val="16"/>
                <w:color w:val="auto"/>
                <w:w w:val="73"/>
              </w:rPr>
              <w:t>thousands)</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Before tax</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(13,770)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32,043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(9,157)</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Net of tax</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(8,533)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19,934</w:t>
            </w: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(5,686)</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also exposed to foreign exchange risk through our intercompany financing transactions. At each period end, foreign currency monetary assets and liabilities, including intercompany balances, are revalued with the change recorded to other income and expense. In the second quarter of 2008, we began entering into monthly foreign exchange forward contracts, not designated for hedge accounting, with the intent to reduce earnings volatility associated with certain foreign currency balances of intercompany financing transactions. During the nine months ended September 30, 2009, we entered into approximately 50 foreign currency option and forward transactions. The notional amounts of the contracts ranged from less than $1 million to $44 million, offsetting our exposures primarily from the euro, British pound, Czech koruna, and Hungarian forint.</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2007, we entered into a cross currency interest rate swap for the purpose of converting our £50 million pound sterling denominated term loan and the pound sterling LIBOR variable interest rate to a U.S. dollar denominated term loan and a U.S. LIBOR interest rate (plus an additional margin of 210 basis points), which was not designated as an accounting hedge. The cross currency interest rate swap had terms similar to the pound sterling denominated term loan, including expected prepayments. This instrument was intended to reduce the impact of volatility between the pound sterling and the U.S. dollar. Therefore, gains and losses were recorded in other income and expense as an offset to the gains (losses) on the underlying term loan revaluation to the U.S. dollar. The amounts paid or received on the interest rate swap were recognized as adjustments to interest expense. In the second quarter of 2008, we repaid the £50 million pound sterling denominated loan.</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our foreign exchange forward and cross currency swap derivative instruments on the Consolidated Statements of Operations for the three and nine months ended September 30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89"/>
              </w:rPr>
              <w:t>Derivatives Not Designated as Hedging</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740" w:type="dxa"/>
            <w:vAlign w:val="bottom"/>
            <w:gridSpan w:val="11"/>
          </w:tcPr>
          <w:p>
            <w:pPr>
              <w:jc w:val="right"/>
              <w:ind w:right="500"/>
              <w:spacing w:after="0"/>
              <w:rPr>
                <w:sz w:val="20"/>
                <w:szCs w:val="20"/>
                <w:color w:val="auto"/>
              </w:rPr>
            </w:pPr>
            <w:r>
              <w:rPr>
                <w:rFonts w:ascii="Arial" w:cs="Arial" w:eastAsia="Arial" w:hAnsi="Arial"/>
                <w:sz w:val="18"/>
                <w:szCs w:val="18"/>
                <w:b w:val="1"/>
                <w:bCs w:val="1"/>
                <w:color w:val="auto"/>
                <w:w w:val="92"/>
              </w:rPr>
              <w:t>Gain (Loss) Recognized on Derivatives in Other Income (Expense)</w:t>
            </w:r>
          </w:p>
        </w:tc>
      </w:tr>
      <w:tr>
        <w:trPr>
          <w:trHeight w:val="223"/>
        </w:trPr>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2"/>
              </w:rPr>
              <w:t>Instrument under ASC 815-20</w:t>
            </w:r>
          </w:p>
        </w:tc>
        <w:tc>
          <w:tcPr>
            <w:tcW w:w="120" w:type="dxa"/>
            <w:vAlign w:val="bottom"/>
          </w:tcPr>
          <w:p>
            <w:pPr>
              <w:spacing w:after="0"/>
              <w:rPr>
                <w:sz w:val="19"/>
                <w:szCs w:val="19"/>
                <w:color w:val="auto"/>
              </w:rPr>
            </w:pPr>
          </w:p>
        </w:tc>
        <w:tc>
          <w:tcPr>
            <w:tcW w:w="2960" w:type="dxa"/>
            <w:vAlign w:val="bottom"/>
            <w:tcBorders>
              <w:top w:val="single" w:sz="8" w:color="auto"/>
            </w:tcBorders>
            <w:gridSpan w:val="6"/>
          </w:tcPr>
          <w:p>
            <w:pPr>
              <w:ind w:left="40"/>
              <w:spacing w:after="0"/>
              <w:rPr>
                <w:sz w:val="20"/>
                <w:szCs w:val="20"/>
                <w:color w:val="auto"/>
              </w:rPr>
            </w:pPr>
            <w:r>
              <w:rPr>
                <w:rFonts w:ascii="Arial" w:cs="Arial" w:eastAsia="Arial" w:hAnsi="Arial"/>
                <w:sz w:val="18"/>
                <w:szCs w:val="18"/>
                <w:b w:val="1"/>
                <w:bCs w:val="1"/>
                <w:color w:val="auto"/>
                <w:w w:val="94"/>
              </w:rPr>
              <w:t>Three Months Ended September 30,</w:t>
            </w:r>
          </w:p>
        </w:tc>
        <w:tc>
          <w:tcPr>
            <w:tcW w:w="10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b w:val="1"/>
                <w:bCs w:val="1"/>
                <w:color w:val="auto"/>
                <w:w w:val="89"/>
              </w:rPr>
              <w:t>Nine Months Ended September 30,</w:t>
            </w:r>
          </w:p>
        </w:tc>
        <w:tc>
          <w:tcPr>
            <w:tcW w:w="120" w:type="dxa"/>
            <w:vAlign w:val="bottom"/>
          </w:tcPr>
          <w:p>
            <w:pPr>
              <w:spacing w:after="0"/>
              <w:rPr>
                <w:sz w:val="19"/>
                <w:szCs w:val="19"/>
                <w:color w:val="auto"/>
              </w:rPr>
            </w:pPr>
          </w:p>
        </w:tc>
      </w:tr>
      <w:tr>
        <w:trPr>
          <w:trHeight w:val="223"/>
        </w:trPr>
        <w:tc>
          <w:tcPr>
            <w:tcW w:w="5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r>
      <w:tr>
        <w:trPr>
          <w:trHeight w:val="216"/>
        </w:trPr>
        <w:tc>
          <w:tcPr>
            <w:tcW w:w="5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60" w:type="dxa"/>
            <w:vAlign w:val="bottom"/>
            <w:gridSpan w:val="5"/>
          </w:tcPr>
          <w:p>
            <w:pPr>
              <w:jc w:val="right"/>
              <w:ind w:right="1020"/>
              <w:spacing w:after="0"/>
              <w:rPr>
                <w:sz w:val="20"/>
                <w:szCs w:val="20"/>
                <w:color w:val="auto"/>
              </w:rPr>
            </w:pPr>
            <w:r>
              <w:rPr>
                <w:rFonts w:ascii="Arial" w:cs="Arial" w:eastAsia="Arial" w:hAnsi="Arial"/>
                <w:sz w:val="18"/>
                <w:szCs w:val="18"/>
                <w:color w:val="auto"/>
              </w:rPr>
              <w:t>(in thousands)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forward contracts</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Cross currency interest rate swap</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(1,709)</w:t>
            </w:r>
          </w:p>
        </w:tc>
      </w:tr>
      <w:tr>
        <w:trPr>
          <w:trHeight w:val="27"/>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534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(1,976)</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(2,503)</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w:t>
            </w: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non-U.S. defined benefit pension plans offering death and disability, retirement, and special termination benefits to employees in Germany, France, Spain, Italy, Belgium, Chile, Portugal, Hungary, and Indonesia. The defined benefit obligation is calculated annually by using the projected unit credit method. The measurement date for the pension plans was December 31, 2008.</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general funding policy for these qualified pension plans is to contribute amounts sufficient to satisfy regulatory funding standards of the respective countries for each plan. Our expected contribution assumes that actual plan asset returns are consistent with our expected rate of return and that interest rates remain constant. For 2009, we expect to contribute a total of $500,000 to our defined pension benefit plans with the majority payable in the fourth quarter. For the three and nine months ended September 30, 2009, we contributed approximately $49,000 and $101,000, respectively, to the defined benefit pension plans. For the three and nine months ended September 30, 2008, we contributed approximately $33,000 and $126,000, respectively, to the defined benefit pension plans.</w:t>
      </w:r>
    </w:p>
    <w:p>
      <w:pPr>
        <w:sectPr>
          <w:pgSz w:w="11900" w:h="16838" w:orient="portrait"/>
          <w:cols w:equalWidth="0" w:num="1">
            <w:col w:w="11420"/>
          </w:cols>
          <w:pgMar w:left="240" w:top="121" w:right="239" w:bottom="1440" w:gutter="0" w:footer="0" w:header="0"/>
        </w:sect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47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w:t>
              </w:r>
            </w:hyperlink>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gridSpan w:val="2"/>
            <w:shd w:val="clear" w:color="auto" w:fill="0000EE"/>
          </w:tcPr>
          <w:p>
            <w:pPr>
              <w:spacing w:after="0" w:line="20" w:lineRule="exact"/>
              <w:rPr>
                <w:sz w:val="1"/>
                <w:szCs w:val="1"/>
                <w:color w:val="auto"/>
              </w:rPr>
            </w:pPr>
          </w:p>
        </w:tc>
        <w:tc>
          <w:tcPr>
            <w:tcW w:w="5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60" w:type="dxa"/>
            <w:vAlign w:val="bottom"/>
            <w:gridSpan w:val="6"/>
          </w:tcPr>
          <w:p>
            <w:pPr>
              <w:spacing w:after="0"/>
              <w:rPr>
                <w:sz w:val="20"/>
                <w:szCs w:val="20"/>
                <w:color w:val="auto"/>
              </w:rPr>
            </w:pPr>
            <w:r>
              <w:rPr>
                <w:rFonts w:ascii="Arial" w:cs="Arial" w:eastAsia="Arial" w:hAnsi="Arial"/>
                <w:sz w:val="18"/>
                <w:szCs w:val="18"/>
                <w:color w:val="auto"/>
                <w:w w:val="97"/>
              </w:rPr>
              <w:t>Net periodic pension benefit costs for our plans include the following components:</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2"/>
              </w:rPr>
              <w:t>Three Months Ended 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438</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2,673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Amortization of actuarial net gain</w:t>
            </w: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unrecognized prior service costs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periodic benefit cost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1,217</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1,284</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3,515</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record stock-based compensation expense for awards of stock options, stock issued pursuant to our ESPP, and the issuance of restricted and unrestricted stock awards and units. We expense stock-based compensation using the straight-line method over the vesting requirement period. For the three months ended September 30, 2009 and 2008, stock-based compensation expense was $4.2 million and $4.5 million and the related tax benefit was $1.0 million and $1.1 million, respectively. For the nine months ended September 30, 2009 and 2008, stock-based compensation expense was $13.4 million and $12.5 million and the related tax benefit was $3.5 million and $2.9 million, respectively. We have not capitalized any stock-based compensation expense. We issue new shares of common stock upon the exercise of stock options or when vesting conditions on restricted awards are fully satisfied.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stock options and ESPP awards issued were estimated at the date of grant using the Black-Scholes option-pricing model with the following weighted average assumptions:</w:t>
      </w:r>
    </w:p>
    <w:p>
      <w:pPr>
        <w:spacing w:after="0" w:line="169" w:lineRule="exact"/>
        <w:rPr>
          <w:sz w:val="20"/>
          <w:szCs w:val="20"/>
          <w:color w:val="auto"/>
        </w:rPr>
      </w:pPr>
    </w:p>
    <w:p>
      <w:pPr>
        <w:jc w:val="center"/>
        <w:ind w:left="1540"/>
        <w:spacing w:after="0"/>
        <w:rPr>
          <w:sz w:val="20"/>
          <w:szCs w:val="20"/>
          <w:color w:val="auto"/>
        </w:rPr>
      </w:pPr>
      <w:r>
        <w:rPr>
          <w:rFonts w:ascii="Arial" w:cs="Arial" w:eastAsia="Arial" w:hAnsi="Arial"/>
          <w:sz w:val="18"/>
          <w:szCs w:val="18"/>
          <w:b w:val="1"/>
          <w:bCs w:val="1"/>
          <w:color w:val="auto"/>
        </w:rPr>
        <w:t xml:space="preserve">Employee Stock Options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-17780</wp:posOffset>
            </wp:positionV>
            <wp:extent cx="19551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jc w:val="center"/>
        <w:ind w:left="1540"/>
        <w:spacing w:after="0"/>
        <w:rPr>
          <w:sz w:val="20"/>
          <w:szCs w:val="20"/>
          <w:color w:val="auto"/>
        </w:rPr>
      </w:pPr>
      <w:r>
        <w:rPr>
          <w:rFonts w:ascii="Arial" w:cs="Arial" w:eastAsia="Arial" w:hAnsi="Arial"/>
          <w:sz w:val="18"/>
          <w:szCs w:val="18"/>
          <w:b w:val="1"/>
          <w:bCs w:val="1"/>
          <w:color w:val="auto"/>
        </w:rPr>
        <w:t>Nine Months Ended September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4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50.2%</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44.8%</w:t>
            </w:r>
          </w:p>
        </w:tc>
      </w:tr>
      <w:tr>
        <w:trPr>
          <w:trHeight w:val="216"/>
        </w:trPr>
        <w:tc>
          <w:tcPr>
            <w:tcW w:w="2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4.91</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4.49</w:t>
            </w:r>
          </w:p>
        </w:tc>
      </w:tr>
    </w:tbl>
    <w:p>
      <w:pPr>
        <w:spacing w:after="0" w:line="210" w:lineRule="exact"/>
        <w:rPr>
          <w:sz w:val="20"/>
          <w:szCs w:val="20"/>
          <w:color w:val="auto"/>
        </w:rPr>
      </w:pPr>
    </w:p>
    <w:p>
      <w:pPr>
        <w:ind w:left="7860"/>
        <w:spacing w:after="0"/>
        <w:rPr>
          <w:sz w:val="20"/>
          <w:szCs w:val="20"/>
          <w:color w:val="auto"/>
        </w:rPr>
      </w:pPr>
      <w:r>
        <w:rPr>
          <w:rFonts w:ascii="Arial" w:cs="Arial" w:eastAsia="Arial" w:hAnsi="Arial"/>
          <w:sz w:val="18"/>
          <w:szCs w:val="18"/>
          <w:b w:val="1"/>
          <w:bCs w:val="1"/>
          <w:color w:val="auto"/>
        </w:rPr>
        <w:t>ESPP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3280" w:type="dxa"/>
            <w:vAlign w:val="bottom"/>
            <w:tcBorders>
              <w:top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95"/>
              </w:rPr>
              <w:t>Three Months Ended September 30,</w:t>
            </w:r>
          </w:p>
        </w:tc>
        <w:tc>
          <w:tcPr>
            <w:tcW w:w="3100" w:type="dxa"/>
            <w:vAlign w:val="bottom"/>
            <w:tcBorders>
              <w:top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6"/>
              </w:rPr>
              <w:t>Nine Months Ended September 30,</w:t>
            </w:r>
          </w:p>
        </w:tc>
        <w:tc>
          <w:tcPr>
            <w:tcW w:w="160" w:type="dxa"/>
            <w:vAlign w:val="bottom"/>
          </w:tcPr>
          <w:p>
            <w:pPr>
              <w:spacing w:after="0"/>
              <w:rPr>
                <w:sz w:val="20"/>
                <w:szCs w:val="20"/>
                <w:color w:val="auto"/>
              </w:rPr>
            </w:pPr>
          </w:p>
        </w:tc>
      </w:tr>
      <w:tr>
        <w:trPr>
          <w:trHeight w:val="223"/>
        </w:trPr>
        <w:tc>
          <w:tcPr>
            <w:tcW w:w="4880" w:type="dxa"/>
            <w:vAlign w:val="bottom"/>
            <w:gridSpan w:val="2"/>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36.8%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75.8%</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52.6%</w:t>
            </w: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tcPr>
          <w:p>
            <w:pPr>
              <w:spacing w:after="0"/>
              <w:rPr>
                <w:sz w:val="20"/>
                <w:szCs w:val="20"/>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Expected life (years)</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(1) There were no Employee Stock Options granted during the three months ended September 30, 2009 and 2008.</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historical volatility of our common stock and the implied volatility of our traded options for the related expected life period. We believe this combined approach is reflective of current and historical market conditions and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date an estimate of the award is fully exercised. Factors considered in estimating the expected life include historical experience of similar awards, with consideration to the contractual terms, vesting schedules, and expectations of future employee behavior. We have not paid dividends in the past and do not plan to pay dividends in the foreseeable future.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Subject to stock splits, dividends, and other similar events, 5,875,000 shares of common stock are reserved and authorized for issuance under our Amended and Restated 2000 Stock Incentive Plan. Of the authorized shares under the plan, no more than 1.0 million shares can be issued as non-stock options (awards). Awards consist of restricted stock units, restricted stock awards, and unrestricted stock awards. At September 30, 2009, shares available for issuance under the plan as either options or awards were 450,638.</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Options to purchase our common stock are granted to employees and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each stock option granted is estimated on the date of grant using the Black-Scholes option-pricing model. No stock options were granted during the three months ended September 30, 2009 and 2008. The weighted average grant date fair values of the stock options granted during the nine months ended September 30, 2009 and 2008 were $57.96 and $39.07 per share, respectively. Compensation expense related to stock options for the three months ended September 30, 2009 and 2008 was $1.6 million and $2.2 million, and for the nine months ended September 30, 2009 and 2008 was $6.2 million and $6.8 million, respectively. Compensation expense is recognized only for those options expected to vest, with forfeitures estimated based on our historical experience and future expectations.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nine months ended September 30, 2009 and 2008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Weighted Average</w:t>
            </w:r>
          </w:p>
        </w:tc>
        <w:tc>
          <w:tcPr>
            <w:tcW w:w="22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Exercise Price per</w:t>
            </w:r>
          </w:p>
        </w:tc>
        <w:tc>
          <w:tcPr>
            <w:tcW w:w="22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1640" w:type="dxa"/>
            <w:vAlign w:val="bottom"/>
            <w:gridSpan w:val="3"/>
          </w:tcPr>
          <w:p>
            <w:pPr>
              <w:jc w:val="right"/>
              <w:ind w:right="6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Pr>
          <w:p>
            <w:pPr>
              <w:spacing w:after="0"/>
              <w:rPr>
                <w:sz w:val="20"/>
                <w:szCs w:val="20"/>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 Life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Intrinsic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5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6.98</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40"/>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95.79</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46.71</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Outstanding, September 30, 2008</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51.26</w:t>
            </w: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8"/>
              </w:rPr>
              <w:t>Exercisable and expected to vest, September 30, 2008</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w:t>
            </w: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Exercisable, September 30, 2008</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34.88</w:t>
            </w: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6.12</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43,182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2009</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2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6.99</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57.96</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Exercised</w:t>
            </w: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440"/>
              <w:spacing w:after="0"/>
              <w:rPr>
                <w:sz w:val="20"/>
                <w:szCs w:val="20"/>
                <w:color w:val="auto"/>
              </w:rPr>
            </w:pPr>
            <w:r>
              <w:rPr>
                <w:rFonts w:ascii="Arial" w:cs="Arial" w:eastAsia="Arial" w:hAnsi="Arial"/>
                <w:sz w:val="18"/>
                <w:szCs w:val="18"/>
                <w:color w:val="auto"/>
              </w:rPr>
              <w:t>Forfeited</w:t>
            </w:r>
          </w:p>
        </w:tc>
        <w:tc>
          <w:tcPr>
            <w:tcW w:w="164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58.98</w:t>
            </w: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Expired</w:t>
            </w:r>
          </w:p>
        </w:tc>
        <w:tc>
          <w:tcPr>
            <w:tcW w:w="1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57.23</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September 30, 2009</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54.96</w:t>
            </w:r>
          </w:p>
        </w:tc>
        <w:tc>
          <w:tcPr>
            <w:tcW w:w="2040" w:type="dxa"/>
            <w:vAlign w:val="bottom"/>
            <w:tcBorders>
              <w:top w:val="single" w:sz="8" w:color="CCEEFF"/>
            </w:tcBorders>
            <w:gridSpan w:val="3"/>
          </w:tcPr>
          <w:p>
            <w:pPr>
              <w:jc w:val="right"/>
              <w:ind w:right="120"/>
              <w:spacing w:after="0"/>
              <w:rPr>
                <w:sz w:val="20"/>
                <w:szCs w:val="20"/>
                <w:color w:val="auto"/>
              </w:rPr>
            </w:pPr>
            <w:r>
              <w:rPr>
                <w:rFonts w:ascii="Arial" w:cs="Arial" w:eastAsia="Arial" w:hAnsi="Arial"/>
                <w:sz w:val="18"/>
                <w:szCs w:val="18"/>
                <w:color w:val="auto"/>
              </w:rPr>
              <w:t>6.66</w:t>
            </w:r>
          </w:p>
        </w:tc>
        <w:tc>
          <w:tcPr>
            <w:tcW w:w="2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20,408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w w:val="98"/>
              </w:rPr>
              <w:t>Exercisable and expected to vest, September 30, 2009</w:t>
            </w:r>
          </w:p>
        </w:tc>
        <w:tc>
          <w:tcPr>
            <w:tcW w:w="1500" w:type="dxa"/>
            <w:vAlign w:val="bottom"/>
          </w:tcPr>
          <w:p>
            <w:pPr>
              <w:jc w:val="right"/>
              <w:spacing w:after="0"/>
              <w:rPr>
                <w:sz w:val="20"/>
                <w:szCs w:val="20"/>
                <w:color w:val="auto"/>
              </w:rPr>
            </w:pPr>
            <w:r>
              <w:rPr>
                <w:rFonts w:ascii="Arial" w:cs="Arial" w:eastAsia="Arial" w:hAnsi="Arial"/>
                <w:sz w:val="18"/>
                <w:szCs w:val="18"/>
                <w:color w:val="auto"/>
              </w:rPr>
              <w:t>1,203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53.22</w:t>
            </w:r>
          </w:p>
        </w:tc>
        <w:tc>
          <w:tcPr>
            <w:tcW w:w="2040" w:type="dxa"/>
            <w:vAlign w:val="bottom"/>
            <w:gridSpan w:val="3"/>
          </w:tcPr>
          <w:p>
            <w:pPr>
              <w:jc w:val="right"/>
              <w:ind w:right="120"/>
              <w:spacing w:after="0"/>
              <w:rPr>
                <w:sz w:val="20"/>
                <w:szCs w:val="20"/>
                <w:color w:val="auto"/>
              </w:rPr>
            </w:pPr>
            <w:r>
              <w:rPr>
                <w:rFonts w:ascii="Arial" w:cs="Arial" w:eastAsia="Arial" w:hAnsi="Arial"/>
                <w:sz w:val="18"/>
                <w:szCs w:val="18"/>
                <w:color w:val="auto"/>
              </w:rPr>
              <w:t>6.56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20,373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Exercisable, September 30, 2009</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46.91</w:t>
            </w:r>
          </w:p>
        </w:tc>
        <w:tc>
          <w:tcPr>
            <w:tcW w:w="2040" w:type="dxa"/>
            <w:vAlign w:val="bottom"/>
            <w:gridSpan w:val="3"/>
          </w:tcPr>
          <w:p>
            <w:pPr>
              <w:jc w:val="right"/>
              <w:ind w:right="120"/>
              <w:spacing w:after="0"/>
              <w:rPr>
                <w:sz w:val="20"/>
                <w:szCs w:val="20"/>
                <w:color w:val="auto"/>
              </w:rPr>
            </w:pPr>
            <w:r>
              <w:rPr>
                <w:rFonts w:ascii="Arial" w:cs="Arial" w:eastAsia="Arial" w:hAnsi="Arial"/>
                <w:sz w:val="18"/>
                <w:szCs w:val="18"/>
                <w:color w:val="auto"/>
              </w:rPr>
              <w:t>6.11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20,052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aggregate intrinsic value in the table above is the amount by which the market value of the underlying stock exceeded the exercise price of the outstanding options before applicable income taxes, based on the closing stock price on the last business day of the period, which represents amounts that would have been received by the optionees had all options been exercised on that date. As of September 30, 2009, total unrecognized stock-based compensation expense related to nonvested stock options was approximately $7.2 million, which is expected to be recognized over a weighted average period of approximately 18 months. During the three months ended September 30, 2009 and 2008, the total intrinsic value of stock options exercised was $4.2 million and $12.9 million, respectively. During the nine months ended September 30, 2009 and 2008, the total intrinsic value of stock options exercised was $4.6 million and $28.2 million, respectively.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Certain employees and senior management receive restricted stock units or restricted stock awards (collectively, restricted awards) as a component of their total compensation. The fair value of a restricted award is the market close price of our common stock on the date of grant. Restricted awards generally vest over a three year period. Compensation expense, net of forfeitures, is recognized over the vesting period.</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vesting, the restricted awards are converted into shares of our common stock on a one-for-one basis and issued to employees. We are entitled to an income tax deduction in an amount equal to the taxable income reported by the employee upon vesting of the restricted awards. Total compensation expense recognized for restricted awards was $2.3 million and $2.0 million for the three months ended September 30, 2009 and 2008, and $6.6 million and $5.1 million for the nine months ended September 30, 2009 and 2008. At September 30, 2009, unrecognized compensation expense was $12.0 million, which is expected to be recognized over a weighted average period of approximately 18 months. The total fair value of awards that vested was $298,000 and $1.5 million during the three and nine months ended September 30, 2009, respectively. No awards vested during the three and nine months ended September 30, 2008.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award activity for the nine months ended September 30, 2009 and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8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Number of Restricted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 Fair</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8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Awards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Nonvested, January 1, 2008</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Granted</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84.53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Nonvested, September 30, 2008</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78.70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Nonvested, January 1, 2009</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Vested</w:t>
            </w:r>
          </w:p>
        </w:tc>
        <w:tc>
          <w:tcPr>
            <w:tcW w:w="1880" w:type="dxa"/>
            <w:vAlign w:val="bottom"/>
            <w:gridSpan w:val="3"/>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Nonvested, September 30, 2009</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73.72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issue unrestricted stock awards to our Board of Directors as part of their compensation. Awards are fully vested at issuance and are expensed when issued. The fair value of unrestricted stock awards is the market close price of our common stock on the date of grant. During the three months ended September 30, 2009 and 2008, we issued 2,168 and 1,184 shares of unrestricted stock with a weighted average grant date fair value of $55.27 and $100.74 per share, respectively. During the nine months ended September 30, 2009 and 2008, we issued 4,284 and 2,744 shares of unrestricted stock with a weighted average grant date fair value of $59.40 and $97.94 per share, respectively. The expense related to these awards was $120,000 and $119,000 for the three months ended September 30, 2009 and 2008, and $254,000 and $269,000 for the nine months ended September 30, 2009 and 2008, respectively.</w:t>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terms of the ESPP, eligible employees can elect to deduct up to 10% of their regular cash compensation to purchase our common stock at a discounted price. The purchase price of the common stock is 85% of the fair market value of the stock at the end of each fiscal quarter. The sale of the stock occurs at the beginning of the subsequent quarter. Under the ESPP, we sold 16,663 and 8,672 shares to employees during the three months ended September 30, 2009 and 2008, and 49,413 and 24,647 shares during the nine months ended September 30, 2009 and 2008, respectively. The fair value of ESPP awards is estimated using the Black-Scholes option-pricing model. The fair value of the ESPP awards was $9.62 and $16.20 per share for the awards associated with the grant in each of the three month offering periods ended September 30, 2009 and 2008, respectively. The weighted average fair value of the ESPP awards associated with the offering periods during the nine months ended September 30, 2009 and 2008 was $8.13 and $15.94 per share, respectively. The expense related to the ESPP was $115,000 and $138,000 for the three months ended September 30, 2009 and 2008, and $394,000 and $406,000 for the nine months ended September 30, 2009 and 2008, respectively. At September 30, 2009, all compensation cost associated with the ESPP had been recognized. There were approximately 259,000 shares of common stock available for future issuance under the ESPP at September 30, 2009.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5"/>
          <w:szCs w:val="15"/>
          <w:b w:val="1"/>
          <w:bCs w:val="1"/>
          <w:color w:val="auto"/>
        </w:rPr>
        <w:t>Income Taxes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tax provision (benefit) as a percentage of income (loss) before tax typically differs from the federal statutory rate of 35%, and may vary from period to period, due to the forecasted mix of earnings in domestic and international jurisdictions, new or revised tax legislation and accounting pronouncements, tax credits (including research and development and foreign tax), state income taxes, adjustments to valuation allowances, and interest expense and penalties related to uncertain tax positions, among other items.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tax benefits in 2009 and 2008 reflect the benefit of certain interest expense deductions and the election under U.S. Internal Revenue Code Section 338 with respect to the Actaris acquisition in 2007, as well as the forecasted mix of earnings in different tax jurisdictions.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tax provision (benefit) as a percentage of income (loss) before tax was (84%) for the three and nine months ended September 30, 2009, compared with 6% and (8%) for the same periods in 2008. We had a tax benefit of $15.1 million in the third quarter of 2009 compared with tax expense of $377,000 in the same quarter of 2008. The benefit in the third quarter of 2009 is due primarily to tax elections regarding the repatriation of foreign earnings and the associated foreign tax credits for years 2007, 2008, and 2009, which were finalized during the quarter. In addition, a decrease in projected pretax income in high tax jurisdictions for the year, net decrease in certain reserves for uncertain tax positions in foreign jurisdictions, and a refund of taxes previously paid in foreign tax audits also contributed to the benefit.</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Unrecognized tax benefits related to uncertain tax positions were $45.8 million and $37.6 million at September 30, 2009 and December 31, 2008, respectively. We classify interest expense and penalties related to uncertain tax positions and interest income on tax overpayments as components of income tax expense. We recognized an expense of $558,000 and a benefit of $305,000 during the three months ended September 30, 2009 and 2008, and expenses of $1.9 million and $725,000 during the nine months ended September 30, 2009 and 2008, respectively, in interest and penalties. At September 30, 2009 and December 31, 2008, accrued interest was $4.0 million and $3.2 million, and accrued penalties were $4.0 million and $2.9 million, respectively. Unrecognized tax benefits that would affect our tax provision at September 30, 2009 and December 31, 2008 were $38.6 million and $37.0 million, respectively. At September 30, 2009, we expect to pay $104,000 in income taxes, interest, or penalties related to uncertain tax positions over the next twelve months.</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believe it is reasonably possible that our unrecognized tax benefits may decrease by approximately $10.0 million within the next twelve months due to a change in method of depreciation for certain foreign subsidiaries and a cash payment associated with an international tax audit.</w:t>
      </w:r>
    </w:p>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Commitments and Contingencies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often required to obtain letters of credit or bonds in support of our obligations for customer contracts. These letters of credit or bonds typically provide a guarantee to the customer for future performance, which usually covers the installation phase of a contract and may on occasion cover the operations and maintenance phase of outsourcing contracts. At September 30, 2009, in addition to the outstanding standby letters of credit of $48.4 million issued under our credit facility’s $115 million multicurrency revolver, our Itron International operating segment has a total of $31.6 million of unsecured multicurrency revolving lines of credit with various financial institutions with total outstanding standby letters of credit of $7.4 million. At December 31, 2008, Itron International had a total of $28.8 million of unsecured multicurrency revolving lines of credit with various financial institutions with total outstanding standby letters of credit of $6.7 million. Unsecured surety bonds in force were $69.5 million and $33.1 million at September 30, 2009 and December 31, 2008, respectively. In the event any such bonds or letters of credit are called, we would be obligated to reimburse the issuer of the letter of credit or bond; however, we do not believe that any currently outstanding bonds or letters of credit will be called.</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 Liabilities recorded for legal contingencies at September 30, 2009 were not material to our financial condition or results of operations.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August 28, 2009, Itron and PT Berca completed a settlement agreement in which litigation against several Itron International subsidiaries and the successor in interest to another company previously owned by Schlumberger Limited (Schlumberger) was dismissed. PT Berca had claimed that it had preemptive rights in the PT Mecoindo joint venture and had sought to nullify the transaction in 2001 whereby Schlumberger transferred its ownership interest in PT Mecoindo to an Itron International subsidiary. The plaintiff also sought to collect damages for the earnings it otherwise would have earned had its alleged preemptive rights been observed. In connection with the settlement, certain portions of the debt of PT Mecoindo were converted to equity and PT Mecoindo was restructured so that Itron and PT Berca became approximately 51:49 owners of PT Mecoindo as of August 28, 2009 and ownership will become equal as of August 28, 2010. This settlement did not, and is not expected to, have a material impact on our financial condition or results of operations.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self insured for a substantial portion of the cost of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 Plan costs were approximately $5.4 million and $4.8 million for the three months ended September 30, 2009 and 2008, and approximately $15.4 million and $14.3 million for the nine months ended September 30, 2009 and 2008, respectively. The IBNR accrual, which is included in wages and benefits payable, was $3.4 million and $3.0 million at September 30, 2009 and December 31, 2008, respectively. 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38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8"/>
              </w:rPr>
              <w:t>Three Months Ended 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5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7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34,065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42,184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38,255</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Adjustment of previous acquisition</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New product warranties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Other changes/adjustments to warranties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4,750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Claims activity</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(15,788)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20"/>
              <w:spacing w:after="0"/>
              <w:rPr>
                <w:sz w:val="20"/>
                <w:szCs w:val="20"/>
                <w:color w:val="auto"/>
              </w:rPr>
            </w:pPr>
            <w:r>
              <w:rPr>
                <w:rFonts w:ascii="Arial" w:cs="Arial" w:eastAsia="Arial" w:hAnsi="Arial"/>
                <w:sz w:val="18"/>
                <w:szCs w:val="18"/>
                <w:color w:val="auto"/>
              </w:rPr>
              <w:t>Effect of change in exchange rates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953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33,515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33,515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Current portion of warranty</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(20,751)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(25,911)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(20,751)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(25,911)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Long-term warranty</w:t>
            </w:r>
          </w:p>
        </w:tc>
        <w:tc>
          <w:tcPr>
            <w:tcW w:w="82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12,764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14,689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12,764</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warranty expense, which consists of new product warranties issued and other changes and adjustments to warranties, totaled approximately $3.9 million and $3.2 million for the three months ended September 30, 2009 and 2008, and approximately $10.1 million and $11.2 million for the nine months ended September 30, 2009 and 2008, respectively.</w:t>
      </w:r>
    </w:p>
    <w:p>
      <w:pPr>
        <w:spacing w:after="0" w:line="20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Other Comprehensive Income (Loss)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comprehensive income (loss) is reflected as a net increase (decrease) to shareholders’ equity and is not reflected in our results of operations. Total comprehensive income (loss) during the reporting periods, net of tax,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3"/>
              </w:rPr>
              <w:t>Three Months Ended</w:t>
            </w:r>
          </w:p>
        </w:tc>
        <w:tc>
          <w:tcPr>
            <w:tcW w:w="140" w:type="dxa"/>
            <w:vAlign w:val="bottom"/>
          </w:tcPr>
          <w:p>
            <w:pPr>
              <w:spacing w:after="0"/>
              <w:rPr>
                <w:sz w:val="18"/>
                <w:szCs w:val="18"/>
                <w:color w:val="auto"/>
              </w:rPr>
            </w:pPr>
          </w:p>
        </w:tc>
        <w:tc>
          <w:tcPr>
            <w:tcW w:w="188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2"/>
              </w:rPr>
              <w:t>Nine Months Ended</w:t>
            </w:r>
          </w:p>
        </w:tc>
      </w:tr>
      <w:tr>
        <w:trPr>
          <w:trHeight w:val="241"/>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188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7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(7,402)</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17,642</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Foreign currency translation adjustment, net</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65,895</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(153,626)</w:t>
            </w:r>
          </w:p>
        </w:tc>
        <w:tc>
          <w:tcPr>
            <w:tcW w:w="14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62,971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(12,717)</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derivative instruments, designated as cash flow hedges, net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unrealized gain (loss) on a nonderivative hedging instrument, net</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(8,524)</w:t>
            </w:r>
          </w:p>
        </w:tc>
        <w:tc>
          <w:tcPr>
            <w:tcW w:w="1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19,934</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(5,676)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hedging (gain) loss reclassified into net income (loss),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Pension plan benefits liability adjustment, net</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(123)</w:t>
            </w:r>
          </w:p>
        </w:tc>
        <w:tc>
          <w:tcPr>
            <w:tcW w:w="14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7"/>
        </w:trPr>
        <w:tc>
          <w:tcPr>
            <w:tcW w:w="7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7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comprehensive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(130,914) $</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49,825</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6,090</w:t>
            </w:r>
          </w:p>
        </w:tc>
      </w:tr>
      <w:tr>
        <w:trPr>
          <w:trHeight w:val="453"/>
        </w:trPr>
        <w:tc>
          <w:tcPr>
            <w:tcW w:w="7320" w:type="dxa"/>
            <w:vAlign w:val="bottom"/>
            <w:tcBorders>
              <w:top w:val="single" w:sz="8" w:color="CCEEFF"/>
            </w:tcBorders>
          </w:tcPr>
          <w:p>
            <w:pPr>
              <w:ind w:left="5620"/>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8"/>
        </w:trPr>
        <w:tc>
          <w:tcPr>
            <w:tcW w:w="7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7780" w:type="dxa"/>
            <w:vAlign w:val="bottom"/>
            <w:gridSpan w:val="2"/>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w:t>
              </w:r>
            </w:hyperlink>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960" w:type="dxa"/>
            <w:vAlign w:val="bottom"/>
            <w:shd w:val="clear" w:color="auto" w:fill="0000EE"/>
          </w:tcPr>
          <w:p>
            <w:pPr>
              <w:spacing w:after="0" w:line="20" w:lineRule="exact"/>
              <w:rPr>
                <w:sz w:val="1"/>
                <w:szCs w:val="1"/>
                <w:color w:val="auto"/>
              </w:rPr>
            </w:pPr>
          </w:p>
        </w:tc>
        <w:tc>
          <w:tcPr>
            <w:tcW w:w="77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8700" w:type="dxa"/>
            <w:vAlign w:val="bottom"/>
            <w:gridSpan w:val="5"/>
          </w:tcPr>
          <w:p>
            <w:pPr>
              <w:spacing w:after="0"/>
              <w:rPr>
                <w:sz w:val="20"/>
                <w:szCs w:val="20"/>
                <w:color w:val="auto"/>
              </w:rPr>
            </w:pPr>
            <w:r>
              <w:rPr>
                <w:rFonts w:ascii="Arial" w:cs="Arial" w:eastAsia="Arial" w:hAnsi="Arial"/>
                <w:sz w:val="18"/>
                <w:szCs w:val="18"/>
                <w:color w:val="auto"/>
                <w:w w:val="91"/>
              </w:rPr>
              <w:t>Income tax (provision) benefit related to other comprehensive income (loss) during the reporting periods was as follows: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96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86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3"/>
              </w:rPr>
              <w:t>Three Months Ended</w:t>
            </w:r>
          </w:p>
        </w:tc>
        <w:tc>
          <w:tcPr>
            <w:tcW w:w="178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w w:val="94"/>
              </w:rPr>
              <w:t>Nine Months Ended</w:t>
            </w:r>
          </w:p>
        </w:tc>
      </w:tr>
      <w:tr>
        <w:trPr>
          <w:trHeight w:val="241"/>
        </w:trPr>
        <w:tc>
          <w:tcPr>
            <w:tcW w:w="96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16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9"/>
              </w:rPr>
              <w:t>September 30,</w:t>
            </w:r>
          </w:p>
        </w:tc>
      </w:tr>
      <w:tr>
        <w:trPr>
          <w:trHeight w:val="223"/>
        </w:trPr>
        <w:tc>
          <w:tcPr>
            <w:tcW w:w="96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2009</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9"/>
                <w:szCs w:val="19"/>
                <w:color w:val="auto"/>
              </w:rPr>
            </w:pPr>
          </w:p>
        </w:tc>
      </w:tr>
      <w:tr>
        <w:trPr>
          <w:trHeight w:val="216"/>
        </w:trPr>
        <w:tc>
          <w:tcPr>
            <w:tcW w:w="96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8"/>
              </w:rPr>
              <w:t>(in thousands)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 on foreign currency translation adjustment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(3,696)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5,264</w:t>
            </w:r>
          </w:p>
        </w:tc>
      </w:tr>
      <w:tr>
        <w:trPr>
          <w:trHeight w:val="216"/>
        </w:trPr>
        <w:tc>
          <w:tcPr>
            <w:tcW w:w="7780" w:type="dxa"/>
            <w:vAlign w:val="bottom"/>
            <w:gridSpan w:val="2"/>
          </w:tcPr>
          <w:p>
            <w:pPr>
              <w:spacing w:after="0" w:line="216" w:lineRule="exact"/>
              <w:rPr>
                <w:sz w:val="20"/>
                <w:szCs w:val="20"/>
                <w:color w:val="auto"/>
              </w:rPr>
            </w:pPr>
            <w:r>
              <w:rPr>
                <w:rFonts w:ascii="Arial" w:cs="Arial" w:eastAsia="Arial" w:hAnsi="Arial"/>
                <w:sz w:val="18"/>
                <w:szCs w:val="18"/>
                <w:color w:val="auto"/>
              </w:rPr>
              <w:t>Income tax (provision) benefit on net unrealized gain (loss) on derivative instruments</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1,266</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1,626</w:t>
            </w: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3,627</w:t>
            </w: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(940)</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Income tax (provision) benefit on net unrealized gain (loss) on a nonderivative hedging instrument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5,246</w:t>
            </w:r>
          </w:p>
        </w:tc>
        <w:tc>
          <w:tcPr>
            <w:tcW w:w="16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(12,110)</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Income tax (provision) benefit on net hedging (gain) loss reclassified into net income (loss)</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(1,366)</w:t>
            </w: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(3,725)</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r>
      <w:tr>
        <w:trPr>
          <w:trHeight w:val="216"/>
        </w:trPr>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on pension plan benefits liability adjustment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7"/>
        </w:trPr>
        <w:tc>
          <w:tcPr>
            <w:tcW w:w="960" w:type="dxa"/>
            <w:vAlign w:val="bottom"/>
            <w:shd w:val="clear" w:color="auto" w:fill="CCEEFF"/>
          </w:tcPr>
          <w:p>
            <w:pPr>
              <w:spacing w:after="0"/>
              <w:rPr>
                <w:sz w:val="2"/>
                <w:szCs w:val="2"/>
                <w:color w:val="auto"/>
              </w:rPr>
            </w:pPr>
          </w:p>
        </w:tc>
        <w:tc>
          <w:tcPr>
            <w:tcW w:w="68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780" w:type="dxa"/>
            <w:vAlign w:val="bottom"/>
            <w:gridSpan w:val="2"/>
          </w:tcPr>
          <w:p>
            <w:pPr>
              <w:ind w:left="360"/>
              <w:spacing w:after="0"/>
              <w:rPr>
                <w:sz w:val="20"/>
                <w:szCs w:val="20"/>
                <w:color w:val="auto"/>
              </w:rPr>
            </w:pPr>
            <w:r>
              <w:rPr>
                <w:rFonts w:ascii="Arial" w:cs="Arial" w:eastAsia="Arial" w:hAnsi="Arial"/>
                <w:sz w:val="18"/>
                <w:szCs w:val="18"/>
                <w:color w:val="auto"/>
              </w:rPr>
              <w:t>Total income tax (provision) benefit on other comprehensive income (loss)</w:t>
            </w:r>
          </w:p>
        </w:tc>
        <w:tc>
          <w:tcPr>
            <w:tcW w:w="16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u w:val="single" w:color="auto"/>
                <w:color w:val="auto"/>
              </w:rPr>
              <w:t>3,468</w:t>
            </w:r>
          </w:p>
        </w:tc>
        <w:tc>
          <w:tcPr>
            <w:tcW w:w="16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(14,127</w:t>
            </w: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(1,904</w:t>
            </w: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rPr>
              <w:t>4,889</w:t>
            </w:r>
          </w:p>
        </w:tc>
      </w:tr>
    </w:tbl>
    <w:p>
      <w:pPr>
        <w:ind w:left="240" w:hanging="232"/>
        <w:spacing w:after="0" w:line="218" w:lineRule="auto"/>
        <w:tabs>
          <w:tab w:leader="none" w:pos="240" w:val="left"/>
        </w:tabs>
        <w:numPr>
          <w:ilvl w:val="0"/>
          <w:numId w:val="5"/>
        </w:numPr>
        <w:rPr>
          <w:rFonts w:ascii="Arial" w:cs="Arial" w:eastAsia="Arial" w:hAnsi="Arial"/>
          <w:sz w:val="28"/>
          <w:szCs w:val="28"/>
          <w:color w:val="auto"/>
          <w:vertAlign w:val="superscript"/>
        </w:rPr>
      </w:pPr>
      <w:r>
        <w:rPr>
          <w:rFonts w:ascii="Arial" w:cs="Arial" w:eastAsia="Arial" w:hAnsi="Arial"/>
          <w:sz w:val="20"/>
          <w:szCs w:val="20"/>
          <w:color w:val="auto"/>
        </w:rPr>
        <w:t>Designated as cash 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-168275</wp:posOffset>
            </wp:positionV>
            <wp:extent cx="22466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Accumulated other comprehensive income, net of tax, was $91.3 million at September 30, 2009 and $34.1 million at December 31, 2008. These amounts consisted of the adjustments for foreign currency translation, the unrealized gain (loss) on our hedging instruments, the hedging gain (loss), and the pension liability adjustment as indicated above.</w:t>
      </w:r>
    </w:p>
    <w:p>
      <w:pPr>
        <w:spacing w:after="0" w:line="20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Fair Values of Financial Instruments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provided are representative of fair values only at September 30, 2009 and December 31, 2008 and do not reflect subsequent changes in the economy, interest rates, tax rates, and other variables that may affect the determination of fair value.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6"/>
          </w:tcPr>
          <w:p>
            <w:pPr>
              <w:jc w:val="right"/>
              <w:ind w:right="510"/>
              <w:spacing w:after="0"/>
              <w:rPr>
                <w:sz w:val="20"/>
                <w:szCs w:val="20"/>
                <w:color w:val="auto"/>
              </w:rPr>
            </w:pPr>
            <w:r>
              <w:rPr>
                <w:rFonts w:ascii="Arial" w:cs="Arial" w:eastAsia="Arial" w:hAnsi="Arial"/>
                <w:sz w:val="18"/>
                <w:szCs w:val="18"/>
                <w:b w:val="1"/>
                <w:bCs w:val="1"/>
                <w:color w:val="auto"/>
              </w:rPr>
              <w:t>At September 30, 2009</w:t>
            </w:r>
          </w:p>
        </w:tc>
        <w:tc>
          <w:tcPr>
            <w:tcW w:w="160" w:type="dxa"/>
            <w:vAlign w:val="bottom"/>
          </w:tcPr>
          <w:p>
            <w:pPr>
              <w:spacing w:after="0"/>
              <w:rPr>
                <w:sz w:val="20"/>
                <w:szCs w:val="20"/>
                <w:color w:val="auto"/>
              </w:rPr>
            </w:pPr>
          </w:p>
        </w:tc>
        <w:tc>
          <w:tcPr>
            <w:tcW w:w="244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At December 31, 2008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Carrying</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30"/>
              <w:spacing w:after="0" w:line="198" w:lineRule="exact"/>
              <w:rPr>
                <w:sz w:val="20"/>
                <w:szCs w:val="20"/>
                <w:color w:val="auto"/>
              </w:rPr>
            </w:pPr>
            <w:r>
              <w:rPr>
                <w:rFonts w:ascii="Arial" w:cs="Arial" w:eastAsia="Arial" w:hAnsi="Arial"/>
                <w:sz w:val="18"/>
                <w:szCs w:val="18"/>
                <w:b w:val="1"/>
                <w:bCs w:val="1"/>
                <w:color w:val="auto"/>
              </w:rPr>
              <w:t>Fair</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jc w:val="center"/>
              <w:ind w:right="260"/>
              <w:spacing w:after="0" w:line="198" w:lineRule="exact"/>
              <w:rPr>
                <w:sz w:val="20"/>
                <w:szCs w:val="20"/>
                <w:color w:val="auto"/>
              </w:rPr>
            </w:pPr>
            <w:r>
              <w:rPr>
                <w:rFonts w:ascii="Arial" w:cs="Arial" w:eastAsia="Arial" w:hAnsi="Arial"/>
                <w:sz w:val="18"/>
                <w:szCs w:val="18"/>
                <w:b w:val="1"/>
                <w:bCs w:val="1"/>
                <w:color w:val="auto"/>
                <w:w w:val="94"/>
              </w:rPr>
              <w:t>Carrying</w:t>
            </w: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30"/>
              <w:spacing w:after="0" w:line="198"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Assets</w:t>
            </w: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60" w:type="dxa"/>
            <w:vAlign w:val="bottom"/>
            <w:gridSpan w:val="2"/>
            <w:vMerge w:val="continue"/>
          </w:tcPr>
          <w:p>
            <w:pPr>
              <w:spacing w:after="0"/>
              <w:rPr>
                <w:sz w:val="17"/>
                <w:szCs w:val="17"/>
                <w:color w:val="auto"/>
              </w:rPr>
            </w:pP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124,721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124,721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144,390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40"/>
              <w:spacing w:after="0"/>
              <w:rPr>
                <w:sz w:val="20"/>
                <w:szCs w:val="20"/>
                <w:color w:val="auto"/>
              </w:rPr>
            </w:pPr>
            <w:r>
              <w:rPr>
                <w:rFonts w:ascii="Arial" w:cs="Arial" w:eastAsia="Arial" w:hAnsi="Arial"/>
                <w:sz w:val="18"/>
                <w:szCs w:val="18"/>
                <w:color w:val="auto"/>
              </w:rPr>
              <w:t>Foreign exchange forwards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Liabilities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Term loans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1360"/>
              <w:spacing w:after="0"/>
              <w:rPr>
                <w:sz w:val="20"/>
                <w:szCs w:val="20"/>
                <w:color w:val="auto"/>
              </w:rPr>
            </w:pPr>
            <w:r>
              <w:rPr>
                <w:rFonts w:ascii="Arial" w:cs="Arial" w:eastAsia="Arial" w:hAnsi="Arial"/>
                <w:sz w:val="18"/>
                <w:szCs w:val="18"/>
                <w:color w:val="auto"/>
              </w:rPr>
              <w:t>USD denominated term loan</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301,205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302,320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375,744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317,128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EUR denominated term loan</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316,981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318,154</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40"/>
              <w:spacing w:after="0"/>
              <w:rPr>
                <w:sz w:val="20"/>
                <w:szCs w:val="20"/>
                <w:color w:val="auto"/>
              </w:rPr>
            </w:pPr>
            <w:r>
              <w:rPr>
                <w:rFonts w:ascii="Arial" w:cs="Arial" w:eastAsia="Arial" w:hAnsi="Arial"/>
                <w:sz w:val="18"/>
                <w:szCs w:val="18"/>
                <w:color w:val="auto"/>
              </w:rPr>
              <w:t>Convertible senior subordinated notes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205,758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275,433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306,337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380,985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Senior subordinated notes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109,192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ind w:left="440"/>
              <w:spacing w:after="0"/>
              <w:rPr>
                <w:sz w:val="20"/>
                <w:szCs w:val="20"/>
                <w:color w:val="auto"/>
              </w:rPr>
            </w:pPr>
            <w:r>
              <w:rPr>
                <w:rFonts w:ascii="Arial" w:cs="Arial" w:eastAsia="Arial" w:hAnsi="Arial"/>
                <w:sz w:val="18"/>
                <w:szCs w:val="18"/>
                <w:color w:val="auto"/>
              </w:rPr>
              <w:t>Interest rate swaps</w:t>
            </w: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18,138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18,138</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17,495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forwards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1,096</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Term loans: </w:t>
      </w:r>
      <w:r>
        <w:rPr>
          <w:rFonts w:ascii="Arial" w:cs="Arial" w:eastAsia="Arial" w:hAnsi="Arial"/>
          <w:sz w:val="18"/>
          <w:szCs w:val="18"/>
          <w:color w:val="auto"/>
        </w:rPr>
        <w:t>The term loans are not registered with the SEC but are generally transferable through banks that hold the debt and make a market.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is based on quoted prices from recent trades of the term loans.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Convertible senior subordinated notes: </w:t>
      </w:r>
      <w:r>
        <w:rPr>
          <w:rFonts w:ascii="Arial" w:cs="Arial" w:eastAsia="Arial" w:hAnsi="Arial"/>
          <w:sz w:val="18"/>
          <w:szCs w:val="18"/>
          <w:color w:val="auto"/>
        </w:rPr>
        <w:t>The convertible notes are registered with the SEC and are generally transferable. The fair value is based on quoted</w:t>
      </w:r>
      <w:r>
        <w:rPr>
          <w:rFonts w:ascii="Arial" w:cs="Arial" w:eastAsia="Arial" w:hAnsi="Arial"/>
          <w:sz w:val="18"/>
          <w:szCs w:val="18"/>
          <w:i w:val="1"/>
          <w:iCs w:val="1"/>
          <w:color w:val="auto"/>
        </w:rPr>
        <w:t xml:space="preserve"> </w:t>
      </w:r>
      <w:r>
        <w:rPr>
          <w:rFonts w:ascii="Arial" w:cs="Arial" w:eastAsia="Arial" w:hAnsi="Arial"/>
          <w:sz w:val="18"/>
          <w:szCs w:val="18"/>
          <w:color w:val="auto"/>
        </w:rPr>
        <w:t>prices from recent broker trades of the convertible notes. The carrying value is lower than the face value of the convertible notes as a result of separating the liability and equity components. The face value of the convertible notes was $223.6 million at September 30, 2009 and $344.6 million at December 31, 2008. See Note 6 for further discussion.</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See Note 7 for a description of our methods and assumptions in determining the fair value of our derivatives, which were determined using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of significant other observable inputs (Level 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Segment Information</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two operating segments: Itron International and Itron North America. Itron International was previously referred to as the Actaris operating segment. We are now operating under the Itron brand on a worldwide basis. Itron International generates a majority of its revenues in Europe, Africa, South America, and Asia/Pacific, while Itron North America generates a majority of its revenues in the United States and Canada. On January 1, 2009, we made refinements to our management reporting and geographic reporting structure between our International and North America operations. Itron North America now includes sales of gas and water meters in North America, which were previously part of Itron International. Therefore, the operating segment information as set forth below is based on our current segment reporting structure. Historical segment information has been restated from the segment information previously provided to conform to our current segment reporting structure after the January 1, 2009 refinement.</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Intersegment revenues were minimal. Corporate operating expenses, interest income, interest expense, gain (loss) on extinguishment of debt, other income (expense), and income tax expense (benefit) are not allocated to the segments, nor included in the measure of segment profit or loss.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expenses are allocated to our segments and were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340" w:type="dxa"/>
            <w:vAlign w:val="bottom"/>
            <w:gridSpan w:val="7"/>
          </w:tcPr>
          <w:p>
            <w:pPr>
              <w:ind w:left="24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6"/>
          </w:tcPr>
          <w:p>
            <w:pPr>
              <w:ind w:left="6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4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3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1680" w:type="dxa"/>
            <w:vAlign w:val="bottom"/>
            <w:gridSpan w:val="4"/>
          </w:tcPr>
          <w:p>
            <w:pPr>
              <w:jc w:val="center"/>
              <w:ind w:right="1050"/>
              <w:spacing w:after="0"/>
              <w:rPr>
                <w:sz w:val="20"/>
                <w:szCs w:val="20"/>
                <w:color w:val="auto"/>
              </w:rPr>
            </w:pPr>
            <w:r>
              <w:rPr>
                <w:rFonts w:ascii="Arial" w:cs="Arial" w:eastAsia="Arial" w:hAnsi="Arial"/>
                <w:sz w:val="18"/>
                <w:szCs w:val="18"/>
                <w:b w:val="1"/>
                <w:bCs w:val="1"/>
                <w:color w:val="auto"/>
                <w:w w:val="72"/>
              </w:rPr>
              <w:t>millions)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Itron North America</w:t>
            </w:r>
          </w:p>
        </w:tc>
        <w:tc>
          <w:tcPr>
            <w:tcW w:w="256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12.7</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Itron International</w:t>
            </w:r>
          </w:p>
        </w:tc>
        <w:tc>
          <w:tcPr>
            <w:tcW w:w="1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99.1</w:t>
            </w:r>
          </w:p>
        </w:tc>
      </w:tr>
      <w:tr>
        <w:trPr>
          <w:trHeight w:val="27"/>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2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Total Company</w:t>
            </w:r>
          </w:p>
        </w:tc>
        <w:tc>
          <w:tcPr>
            <w:tcW w:w="15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39.4</w:t>
            </w: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43.8</w:t>
            </w: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w:t>
            </w: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rPr>
              <w:t>Segment Products</w:t>
            </w:r>
          </w:p>
        </w:tc>
        <w:tc>
          <w:tcPr>
            <w:tcW w:w="2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Itron North America</w:t>
            </w:r>
          </w:p>
        </w:tc>
        <w:tc>
          <w:tcPr>
            <w:tcW w:w="9280" w:type="dxa"/>
            <w:vAlign w:val="bottom"/>
            <w:gridSpan w:val="16"/>
          </w:tcPr>
          <w:p>
            <w:pPr>
              <w:ind w:left="20"/>
              <w:spacing w:after="0"/>
              <w:rPr>
                <w:sz w:val="20"/>
                <w:szCs w:val="20"/>
                <w:color w:val="auto"/>
              </w:rPr>
            </w:pPr>
            <w:r>
              <w:rPr>
                <w:rFonts w:ascii="Arial" w:cs="Arial" w:eastAsia="Arial" w:hAnsi="Arial"/>
                <w:sz w:val="18"/>
                <w:szCs w:val="18"/>
                <w:color w:val="auto"/>
                <w:w w:val="92"/>
              </w:rPr>
              <w:t>Electronic and smart electricity meters; gas and water meters; electricity, gas, and water automated meter reading (AMR)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280" w:type="dxa"/>
            <w:vAlign w:val="bottom"/>
            <w:gridSpan w:val="16"/>
          </w:tcPr>
          <w:p>
            <w:pPr>
              <w:ind w:left="20"/>
              <w:spacing w:after="0"/>
              <w:rPr>
                <w:sz w:val="20"/>
                <w:szCs w:val="20"/>
                <w:color w:val="auto"/>
              </w:rPr>
            </w:pPr>
            <w:r>
              <w:rPr>
                <w:rFonts w:ascii="Arial" w:cs="Arial" w:eastAsia="Arial" w:hAnsi="Arial"/>
                <w:sz w:val="18"/>
                <w:szCs w:val="18"/>
                <w:color w:val="auto"/>
                <w:w w:val="95"/>
              </w:rPr>
              <w:t>advanced  metering  infrastructure  (AMI)/smart  meter  modules;  handheld,  mobile,  and  network  AMR  data  collection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280" w:type="dxa"/>
            <w:vAlign w:val="bottom"/>
            <w:gridSpan w:val="16"/>
          </w:tcPr>
          <w:p>
            <w:pPr>
              <w:ind w:left="20"/>
              <w:spacing w:after="0"/>
              <w:rPr>
                <w:sz w:val="20"/>
                <w:szCs w:val="20"/>
                <w:color w:val="auto"/>
              </w:rPr>
            </w:pPr>
            <w:r>
              <w:rPr>
                <w:rFonts w:ascii="Arial" w:cs="Arial" w:eastAsia="Arial" w:hAnsi="Arial"/>
                <w:sz w:val="18"/>
                <w:szCs w:val="18"/>
                <w:color w:val="auto"/>
                <w:w w:val="94"/>
              </w:rPr>
              <w:t>technologies; AMI network technologies; software, installation, implementation, consulting, maintenance, support, and other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services.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140" w:type="dxa"/>
            <w:vAlign w:val="bottom"/>
            <w:gridSpan w:val="2"/>
          </w:tcPr>
          <w:p>
            <w:pPr>
              <w:spacing w:after="0"/>
              <w:rPr>
                <w:sz w:val="20"/>
                <w:szCs w:val="20"/>
                <w:color w:val="auto"/>
              </w:rPr>
            </w:pPr>
            <w:r>
              <w:rPr>
                <w:rFonts w:ascii="Arial" w:cs="Arial" w:eastAsia="Arial" w:hAnsi="Arial"/>
                <w:sz w:val="18"/>
                <w:szCs w:val="18"/>
                <w:i w:val="1"/>
                <w:iCs w:val="1"/>
                <w:color w:val="auto"/>
              </w:rPr>
              <w:t>Itron International</w:t>
            </w:r>
          </w:p>
        </w:tc>
        <w:tc>
          <w:tcPr>
            <w:tcW w:w="2280" w:type="dxa"/>
            <w:vAlign w:val="bottom"/>
          </w:tcPr>
          <w:p>
            <w:pPr>
              <w:ind w:left="20"/>
              <w:spacing w:after="0"/>
              <w:rPr>
                <w:sz w:val="20"/>
                <w:szCs w:val="20"/>
                <w:color w:val="auto"/>
              </w:rPr>
            </w:pPr>
            <w:r>
              <w:rPr>
                <w:rFonts w:ascii="Arial" w:cs="Arial" w:eastAsia="Arial" w:hAnsi="Arial"/>
                <w:sz w:val="18"/>
                <w:szCs w:val="18"/>
                <w:color w:val="auto"/>
                <w:w w:val="93"/>
              </w:rPr>
              <w:t>Electromechanical, electronic,</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3"/>
              </w:rPr>
              <w:t>and</w:t>
            </w:r>
          </w:p>
        </w:tc>
        <w:tc>
          <w:tcPr>
            <w:tcW w:w="1880" w:type="dxa"/>
            <w:vAlign w:val="bottom"/>
            <w:gridSpan w:val="4"/>
          </w:tcPr>
          <w:p>
            <w:pPr>
              <w:jc w:val="center"/>
              <w:ind w:right="20"/>
              <w:spacing w:after="0"/>
              <w:rPr>
                <w:sz w:val="20"/>
                <w:szCs w:val="20"/>
                <w:color w:val="auto"/>
              </w:rPr>
            </w:pPr>
            <w:r>
              <w:rPr>
                <w:rFonts w:ascii="Arial" w:cs="Arial" w:eastAsia="Arial" w:hAnsi="Arial"/>
                <w:sz w:val="18"/>
                <w:szCs w:val="18"/>
                <w:color w:val="auto"/>
                <w:w w:val="95"/>
              </w:rPr>
              <w:t>smart electricity meters;</w:t>
            </w:r>
          </w:p>
        </w:tc>
        <w:tc>
          <w:tcPr>
            <w:tcW w:w="1260" w:type="dxa"/>
            <w:vAlign w:val="bottom"/>
          </w:tcPr>
          <w:p>
            <w:pPr>
              <w:jc w:val="right"/>
              <w:spacing w:after="0"/>
              <w:rPr>
                <w:sz w:val="20"/>
                <w:szCs w:val="20"/>
                <w:color w:val="auto"/>
              </w:rPr>
            </w:pPr>
            <w:r>
              <w:rPr>
                <w:rFonts w:ascii="Arial" w:cs="Arial" w:eastAsia="Arial" w:hAnsi="Arial"/>
                <w:sz w:val="18"/>
                <w:szCs w:val="18"/>
                <w:color w:val="auto"/>
                <w:w w:val="93"/>
              </w:rPr>
              <w:t>mechanical and</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93"/>
              </w:rPr>
              <w:t>ultrasonic</w:t>
            </w:r>
          </w:p>
        </w:tc>
        <w:tc>
          <w:tcPr>
            <w:tcW w:w="1260" w:type="dxa"/>
            <w:vAlign w:val="bottom"/>
            <w:gridSpan w:val="4"/>
          </w:tcPr>
          <w:p>
            <w:pPr>
              <w:jc w:val="right"/>
              <w:ind w:right="60"/>
              <w:spacing w:after="0"/>
              <w:rPr>
                <w:sz w:val="20"/>
                <w:szCs w:val="20"/>
                <w:color w:val="auto"/>
              </w:rPr>
            </w:pPr>
            <w:r>
              <w:rPr>
                <w:rFonts w:ascii="Arial" w:cs="Arial" w:eastAsia="Arial" w:hAnsi="Arial"/>
                <w:sz w:val="18"/>
                <w:szCs w:val="18"/>
                <w:color w:val="auto"/>
                <w:w w:val="99"/>
              </w:rPr>
              <w:t>water and heat</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meters; diaphragm,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280" w:type="dxa"/>
            <w:vAlign w:val="bottom"/>
            <w:gridSpan w:val="16"/>
          </w:tcPr>
          <w:p>
            <w:pPr>
              <w:ind w:left="20"/>
              <w:spacing w:after="0"/>
              <w:rPr>
                <w:sz w:val="20"/>
                <w:szCs w:val="20"/>
                <w:color w:val="auto"/>
              </w:rPr>
            </w:pPr>
            <w:r>
              <w:rPr>
                <w:rFonts w:ascii="Arial" w:cs="Arial" w:eastAsia="Arial" w:hAnsi="Arial"/>
                <w:sz w:val="18"/>
                <w:szCs w:val="18"/>
                <w:color w:val="auto"/>
                <w:w w:val="92"/>
              </w:rPr>
              <w:t>turbine, and rotary gas meters; one-way and two-way electricity prepayment systems, including smart key, keypad, and smart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9280" w:type="dxa"/>
            <w:vAlign w:val="bottom"/>
            <w:gridSpan w:val="16"/>
          </w:tcPr>
          <w:p>
            <w:pPr>
              <w:ind w:left="20"/>
              <w:spacing w:after="0"/>
              <w:rPr>
                <w:sz w:val="20"/>
                <w:szCs w:val="20"/>
                <w:color w:val="auto"/>
              </w:rPr>
            </w:pPr>
            <w:r>
              <w:rPr>
                <w:rFonts w:ascii="Arial" w:cs="Arial" w:eastAsia="Arial" w:hAnsi="Arial"/>
                <w:sz w:val="18"/>
                <w:szCs w:val="18"/>
                <w:color w:val="auto"/>
              </w:rPr>
              <w:t>card; two-way gas prepayment systems using smart card; AMR and AMI data  collection  technologies;  installation,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800" w:type="dxa"/>
            <w:vAlign w:val="bottom"/>
            <w:gridSpan w:val="8"/>
          </w:tcPr>
          <w:p>
            <w:pPr>
              <w:ind w:left="20"/>
              <w:spacing w:after="0"/>
              <w:rPr>
                <w:sz w:val="20"/>
                <w:szCs w:val="20"/>
                <w:color w:val="auto"/>
              </w:rPr>
            </w:pPr>
            <w:r>
              <w:rPr>
                <w:rFonts w:ascii="Arial" w:cs="Arial" w:eastAsia="Arial" w:hAnsi="Arial"/>
                <w:sz w:val="18"/>
                <w:szCs w:val="18"/>
                <w:color w:val="auto"/>
              </w:rPr>
              <w:t>implementation, maintenance support, and other managed services.</w:t>
            </w: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4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w w:val="94"/>
              </w:rPr>
              <w:t>Three Months Ended September 30,</w:t>
            </w:r>
          </w:p>
        </w:tc>
        <w:tc>
          <w:tcPr>
            <w:tcW w:w="220" w:type="dxa"/>
            <w:vAlign w:val="bottom"/>
          </w:tcPr>
          <w:p>
            <w:pPr>
              <w:spacing w:after="0"/>
              <w:rPr>
                <w:sz w:val="24"/>
                <w:szCs w:val="24"/>
                <w:color w:val="auto"/>
              </w:rPr>
            </w:pPr>
          </w:p>
        </w:tc>
        <w:tc>
          <w:tcPr>
            <w:tcW w:w="326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7"/>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84"/>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Revenues</w:t>
            </w:r>
          </w:p>
        </w:tc>
        <w:tc>
          <w:tcPr>
            <w:tcW w:w="2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40" w:type="dxa"/>
            <w:vAlign w:val="bottom"/>
            <w:gridSpan w:val="2"/>
            <w:vMerge w:val="continue"/>
          </w:tcPr>
          <w:p>
            <w:pPr>
              <w:spacing w:after="0"/>
              <w:rPr>
                <w:sz w:val="17"/>
                <w:szCs w:val="17"/>
                <w:color w:val="auto"/>
              </w:rPr>
            </w:pPr>
          </w:p>
        </w:tc>
        <w:tc>
          <w:tcPr>
            <w:tcW w:w="2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8"/>
              </w:rPr>
              <w:t>Itron North America</w:t>
            </w:r>
          </w:p>
        </w:tc>
        <w:tc>
          <w:tcPr>
            <w:tcW w:w="2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137,360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176,135</w:t>
            </w:r>
          </w:p>
        </w:tc>
        <w:tc>
          <w:tcPr>
            <w:tcW w:w="760" w:type="dxa"/>
            <w:vAlign w:val="bottom"/>
            <w:tcBorders>
              <w:left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419,689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560"/>
              <w:spacing w:after="0"/>
              <w:rPr>
                <w:sz w:val="20"/>
                <w:szCs w:val="20"/>
                <w:color w:val="auto"/>
              </w:rPr>
            </w:pPr>
            <w:r>
              <w:rPr>
                <w:rFonts w:ascii="Arial" w:cs="Arial" w:eastAsia="Arial" w:hAnsi="Arial"/>
                <w:sz w:val="18"/>
                <w:szCs w:val="18"/>
                <w:color w:val="auto"/>
              </w:rPr>
              <w:t>Itron International</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270,998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308,683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790,935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949,239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4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Total Company</w:t>
            </w:r>
          </w:p>
        </w:tc>
        <w:tc>
          <w:tcPr>
            <w:tcW w:w="2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408,358</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484,818</w:t>
            </w:r>
          </w:p>
        </w:tc>
        <w:tc>
          <w:tcPr>
            <w:tcW w:w="760" w:type="dxa"/>
            <w:vAlign w:val="bottom"/>
            <w:tcBorders>
              <w:left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1,210,624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1,477,225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20" w:type="dxa"/>
            <w:vAlign w:val="bottom"/>
            <w:tcBorders>
              <w:top w:val="single" w:sz="8" w:color="CCEEFF"/>
            </w:tcBorders>
          </w:tcPr>
          <w:p>
            <w:pPr>
              <w:spacing w:after="0"/>
              <w:rPr>
                <w:sz w:val="18"/>
                <w:szCs w:val="18"/>
                <w:color w:val="auto"/>
              </w:rPr>
            </w:pPr>
          </w:p>
        </w:tc>
        <w:tc>
          <w:tcPr>
            <w:tcW w:w="22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560"/>
              <w:spacing w:after="0"/>
              <w:rPr>
                <w:sz w:val="20"/>
                <w:szCs w:val="20"/>
                <w:color w:val="auto"/>
              </w:rPr>
            </w:pPr>
            <w:r>
              <w:rPr>
                <w:rFonts w:ascii="Arial" w:cs="Arial" w:eastAsia="Arial" w:hAnsi="Arial"/>
                <w:sz w:val="18"/>
                <w:szCs w:val="18"/>
                <w:color w:val="auto"/>
                <w:w w:val="98"/>
              </w:rPr>
              <w:t>Itron North America</w:t>
            </w:r>
          </w:p>
        </w:tc>
        <w:tc>
          <w:tcPr>
            <w:tcW w:w="22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42,553</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66,500</w:t>
            </w:r>
          </w:p>
        </w:tc>
        <w:tc>
          <w:tcPr>
            <w:tcW w:w="7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144,849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200,847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Itron International</w:t>
            </w: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86,926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96,460</w:t>
            </w:r>
          </w:p>
        </w:tc>
        <w:tc>
          <w:tcPr>
            <w:tcW w:w="2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247,323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300,882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240"/>
              <w:spacing w:after="0"/>
              <w:rPr>
                <w:sz w:val="20"/>
                <w:szCs w:val="20"/>
                <w:color w:val="auto"/>
              </w:rPr>
            </w:pPr>
            <w:r>
              <w:rPr>
                <w:rFonts w:ascii="Arial" w:cs="Arial" w:eastAsia="Arial" w:hAnsi="Arial"/>
                <w:sz w:val="18"/>
                <w:szCs w:val="18"/>
                <w:color w:val="auto"/>
              </w:rPr>
              <w:t>Total Company</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129,479</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162,960</w:t>
            </w:r>
          </w:p>
        </w:tc>
        <w:tc>
          <w:tcPr>
            <w:tcW w:w="7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392,172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501,729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8"/>
              </w:rPr>
              <w:t>Itron North America</w:t>
            </w:r>
          </w:p>
        </w:tc>
        <w:tc>
          <w:tcPr>
            <w:tcW w:w="22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17,934</w:t>
            </w:r>
          </w:p>
        </w:tc>
        <w:tc>
          <w:tcPr>
            <w:tcW w:w="760" w:type="dxa"/>
            <w:vAlign w:val="bottom"/>
            <w:tcBorders>
              <w:left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12,461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tcPr>
          <w:p>
            <w:pPr>
              <w:ind w:left="560"/>
              <w:spacing w:after="0"/>
              <w:rPr>
                <w:sz w:val="20"/>
                <w:szCs w:val="20"/>
                <w:color w:val="auto"/>
              </w:rPr>
            </w:pPr>
            <w:r>
              <w:rPr>
                <w:rFonts w:ascii="Arial" w:cs="Arial" w:eastAsia="Arial" w:hAnsi="Arial"/>
                <w:sz w:val="18"/>
                <w:szCs w:val="18"/>
                <w:color w:val="auto"/>
              </w:rPr>
              <w:t>Itron International</w:t>
            </w:r>
          </w:p>
        </w:tc>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17,318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18,408</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40,016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Corporate unallocated</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(11,009)</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(22,803)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240"/>
              <w:spacing w:after="0"/>
              <w:rPr>
                <w:sz w:val="20"/>
                <w:szCs w:val="20"/>
                <w:color w:val="auto"/>
              </w:rPr>
            </w:pPr>
            <w:r>
              <w:rPr>
                <w:rFonts w:ascii="Arial" w:cs="Arial" w:eastAsia="Arial" w:hAnsi="Arial"/>
                <w:sz w:val="18"/>
                <w:szCs w:val="18"/>
                <w:color w:val="auto"/>
              </w:rPr>
              <w:t>Total Company</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9,006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25,333</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29,674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88,798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w w:val="89"/>
              </w:rPr>
              <w:t>Total other income (expense)</w:t>
            </w:r>
          </w:p>
        </w:tc>
        <w:tc>
          <w:tcPr>
            <w:tcW w:w="2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(19,356)</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(18,108)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5,977</w:t>
            </w:r>
          </w:p>
        </w:tc>
        <w:tc>
          <w:tcPr>
            <w:tcW w:w="76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(44,919)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16,344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12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single customer represented more than 10% of total Company or Itron International operating segment revenues for the three and nine months ended September 30, 2009 and 2008. No customer accounted for more than 10% of Itron North America operating segment revenues for the three months ended September 30, 2009 and 2008, and the nine months ended September 30, 2009. One customer accounted for 11% of Itron North America operating segment revenues for the nine months ended September 30, 2008.</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Revenues by region were as follows: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80" w:type="dxa"/>
            <w:vAlign w:val="bottom"/>
            <w:gridSpan w:val="6"/>
          </w:tcPr>
          <w:p>
            <w:pPr>
              <w:ind w:left="8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100" w:type="dxa"/>
            <w:vAlign w:val="bottom"/>
            <w:gridSpan w:val="6"/>
          </w:tcPr>
          <w:p>
            <w:pPr>
              <w:ind w:left="6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4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6"/>
          </w:tcPr>
          <w:p>
            <w:pPr>
              <w:jc w:val="right"/>
              <w:ind w:right="118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203,834</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232,979</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610,869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722,415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United States and Canada</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131,986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161,262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402,761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488,298</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72,538</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196,994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266,512</w:t>
            </w: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700" w:type="dxa"/>
            <w:vAlign w:val="bottom"/>
          </w:tcPr>
          <w:p>
            <w:pPr>
              <w:ind w:left="700"/>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408,358</w:t>
            </w:r>
          </w:p>
        </w:tc>
        <w:tc>
          <w:tcPr>
            <w:tcW w:w="1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484,818</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1,210,624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1,477,225</w:t>
            </w:r>
          </w:p>
        </w:tc>
      </w:tr>
      <w:tr>
        <w:trPr>
          <w:trHeight w:val="21"/>
        </w:trPr>
        <w:tc>
          <w:tcPr>
            <w:tcW w:w="4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Consolidating Financial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subordinated notes and convertible notes, issued by Itron, Inc., are guaranteed by our U.S. domestic subsidiaries, which are 100% owned, and any future domestic subsidiaries. The guarantees are joint and several, full, complete, and unconditional. There are currently no restrictions on the ability of the subsidiary guarantors to transfer funds to the parent company.</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 2009, we transferred a substantial portion of our guarantor subsidiary operations located in the United States into the parent company. This change in legal entities implemented on January 1, 2009 is reflected in the below consolidating statements as of and for the three and nine months ended September 30, 2009. We have not restated the comparative prior period results due to the complexity of the transfer and the immaterial nature of the operations.</w:t>
      </w: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September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Combined</w:t>
            </w:r>
          </w:p>
        </w:tc>
        <w:tc>
          <w:tcPr>
            <w:tcW w:w="10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Combined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Guarantor</w:t>
            </w:r>
          </w:p>
        </w:tc>
        <w:tc>
          <w:tcPr>
            <w:tcW w:w="1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Non-guarantor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Subsidiaries</w:t>
            </w:r>
          </w:p>
        </w:tc>
        <w:tc>
          <w:tcPr>
            <w:tcW w:w="14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Eliminations</w:t>
            </w:r>
          </w:p>
        </w:tc>
        <w:tc>
          <w:tcPr>
            <w:tcW w:w="1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3"/>
              </w:rPr>
              <w:t>(in 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133,898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282,183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93,219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193,448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(8,728)</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278,879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88,735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14,400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23,269</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37,669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19,207</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11,870</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9,941</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16,665</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26,606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49,422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71,051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120,473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(8,743)</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17,684</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29,145</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(29,955)</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(20,499)</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(29,818)</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30,242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Loss on extinguishment of debt, net</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(2,460)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(3,328)</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680"/>
              <w:spacing w:after="0"/>
              <w:rPr>
                <w:sz w:val="20"/>
                <w:szCs w:val="20"/>
                <w:color w:val="auto"/>
              </w:rPr>
            </w:pPr>
            <w:r>
              <w:rPr>
                <w:rFonts w:ascii="Arial" w:cs="Arial" w:eastAsia="Arial" w:hAnsi="Arial"/>
                <w:sz w:val="18"/>
                <w:szCs w:val="18"/>
                <w:color w:val="auto"/>
              </w:rPr>
              <w:t>Total other income (expense)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(33,258)</w:t>
            </w:r>
          </w:p>
        </w:tc>
        <w:tc>
          <w:tcPr>
            <w:tcW w:w="1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(27,114)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(3,469)</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(15,574)</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(18,108)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13,252</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1,894</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Equity in losses of guarantor and</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non-guarantor subsidiaries, net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(12,745)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(2,428)</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15,173</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(2,962)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(1,493)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(13,680)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15,173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(2,962)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Three Months Ended September 30,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Combined</w:t>
            </w:r>
          </w:p>
        </w:tc>
        <w:tc>
          <w:tcPr>
            <w:tcW w:w="10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Combined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Guarantor</w:t>
            </w:r>
          </w:p>
        </w:tc>
        <w:tc>
          <w:tcPr>
            <w:tcW w:w="1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Non-guarantor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Subsidiaries</w:t>
            </w:r>
          </w:p>
        </w:tc>
        <w:tc>
          <w:tcPr>
            <w:tcW w:w="14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Eliminations</w:t>
            </w:r>
          </w:p>
        </w:tc>
        <w:tc>
          <w:tcPr>
            <w:tcW w:w="1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3"/>
              </w:rPr>
              <w:t>(in 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155,224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18,639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319,800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94,151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15,366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221,186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(8,845)</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321,858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98,614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13,541</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25,358</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18,724</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12,137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14,618</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18,716</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34,088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24,734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52,544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4,138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80,945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137,627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8,529</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17,669</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31,529</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1,720</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(31,270)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(20,909)</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(31,367)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31,270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(1,065)</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other income (expense)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11,313</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(30,712)</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19,842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(13,043)</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(3,031)</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1,298</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guarantor and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non-guarantor subsidiaries, net</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(11,211)</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11,230</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2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11,230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35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Nine Months Ended September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Combined</w:t>
            </w:r>
          </w:p>
        </w:tc>
        <w:tc>
          <w:tcPr>
            <w:tcW w:w="10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Combined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Guarantor</w:t>
            </w:r>
          </w:p>
        </w:tc>
        <w:tc>
          <w:tcPr>
            <w:tcW w:w="1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Non-guarantor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Subsidiaries</w:t>
            </w:r>
          </w:p>
        </w:tc>
        <w:tc>
          <w:tcPr>
            <w:tcW w:w="14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Eliminations</w:t>
            </w:r>
          </w:p>
        </w:tc>
        <w:tc>
          <w:tcPr>
            <w:tcW w:w="1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3"/>
              </w:rPr>
              <w:t>(in 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410,367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829,870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(32,729)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1,210,624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270,709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577,174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(32,729)</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818,452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139,658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252,696</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392,172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42,546</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70,023</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112,569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58,869</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34,175</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31,495</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52,602</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68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150,543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211,955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362,498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(10,885)</w:t>
            </w: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40,741</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29,674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83,472</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(85,914)</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(56,003)</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(83,517)</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86,201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Loss on extinguishment of debt, net</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(12,800)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(12,800)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(6,353)</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680"/>
              <w:spacing w:after="0"/>
              <w:rPr>
                <w:sz w:val="20"/>
                <w:szCs w:val="20"/>
                <w:color w:val="auto"/>
              </w:rPr>
            </w:pPr>
            <w:r>
              <w:rPr>
                <w:rFonts w:ascii="Arial" w:cs="Arial" w:eastAsia="Arial" w:hAnsi="Arial"/>
                <w:sz w:val="18"/>
                <w:szCs w:val="18"/>
                <w:color w:val="auto"/>
              </w:rPr>
              <w:t>Total other income (expense)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11,867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2,873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(89,333)</w:t>
            </w:r>
          </w:p>
        </w:tc>
        <w:tc>
          <w:tcPr>
            <w:tcW w:w="14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(74,593)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982</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(48,592)</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(44,919)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36,938</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Equity in losses of guarantor and</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non-guarantor subsidiaries, net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(45,322)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(5,466)</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50,788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(7,402)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(2,775)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(48,013)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50,788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(7,402)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67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5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Consolidating Statement of Operations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Nine Months Ended September 30,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Combined</w:t>
            </w:r>
          </w:p>
        </w:tc>
        <w:tc>
          <w:tcPr>
            <w:tcW w:w="100" w:type="dxa"/>
            <w:vAlign w:val="bottom"/>
          </w:tcPr>
          <w:p>
            <w:pPr>
              <w:spacing w:after="0"/>
              <w:rPr>
                <w:sz w:val="18"/>
                <w:szCs w:val="18"/>
                <w:color w:val="auto"/>
              </w:rPr>
            </w:pPr>
          </w:p>
        </w:tc>
        <w:tc>
          <w:tcPr>
            <w:tcW w:w="15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Combined</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Guarantor</w:t>
            </w:r>
          </w:p>
        </w:tc>
        <w:tc>
          <w:tcPr>
            <w:tcW w:w="10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Non-guarantor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Parent</w:t>
            </w:r>
          </w:p>
        </w:tc>
        <w:tc>
          <w:tcPr>
            <w:tcW w:w="160" w:type="dxa"/>
            <w:vAlign w:val="bottom"/>
          </w:tcPr>
          <w:p>
            <w:pPr>
              <w:spacing w:after="0"/>
              <w:rPr>
                <w:sz w:val="20"/>
                <w:szCs w:val="20"/>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Subsidiaries</w:t>
            </w:r>
          </w:p>
        </w:tc>
        <w:tc>
          <w:tcPr>
            <w:tcW w:w="100" w:type="dxa"/>
            <w:vAlign w:val="bottom"/>
          </w:tcPr>
          <w:p>
            <w:pPr>
              <w:spacing w:after="0"/>
              <w:rPr>
                <w:sz w:val="20"/>
                <w:szCs w:val="20"/>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7"/>
              </w:rPr>
              <w:t>Subsidiaries</w:t>
            </w:r>
          </w:p>
        </w:tc>
        <w:tc>
          <w:tcPr>
            <w:tcW w:w="140" w:type="dxa"/>
            <w:vAlign w:val="bottom"/>
          </w:tcPr>
          <w:p>
            <w:pPr>
              <w:spacing w:after="0"/>
              <w:rPr>
                <w:sz w:val="20"/>
                <w:szCs w:val="20"/>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3"/>
              </w:rPr>
              <w:t>Eliminations</w:t>
            </w:r>
          </w:p>
        </w:tc>
        <w:tc>
          <w:tcPr>
            <w:tcW w:w="1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3"/>
              </w:rPr>
              <w:t>(in thousands)</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459,504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60,240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985,562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(28,081)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279,154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46,499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677,864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(28,021)</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975,496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180,350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307,698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501,729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40,770</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6,766</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79,998</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127,534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 development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56,135</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2,519</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33,689</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41,272</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1,982</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56,746</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93,114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155,164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11,267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246,560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412,931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25,186</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61,138</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88,798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94,417</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3,896</w:t>
            </w:r>
          </w:p>
        </w:tc>
        <w:tc>
          <w:tcPr>
            <w:tcW w:w="14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(93,481)</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(74,831)</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(93,892)</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93,481</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2,190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(3,395)</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 (expense)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21,776</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(93,391)</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46,962</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(32,253)</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Income tax benefit (provision)</w:t>
            </w:r>
          </w:p>
        </w:tc>
        <w:tc>
          <w:tcPr>
            <w:tcW w:w="26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1,883</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(2,185)</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Equity in earnings (losses) of guarantor and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220"/>
              <w:spacing w:after="0"/>
              <w:rPr>
                <w:sz w:val="20"/>
                <w:szCs w:val="20"/>
                <w:color w:val="auto"/>
              </w:rPr>
            </w:pPr>
            <w:r>
              <w:rPr>
                <w:rFonts w:ascii="Arial" w:cs="Arial" w:eastAsia="Arial" w:hAnsi="Arial"/>
                <w:sz w:val="18"/>
                <w:szCs w:val="18"/>
                <w:color w:val="auto"/>
              </w:rPr>
              <w:t>non-guarantor subsidiaries, net</w:t>
            </w:r>
          </w:p>
        </w:tc>
        <w:tc>
          <w:tcPr>
            <w:tcW w:w="26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(31,203)</w:t>
            </w:r>
          </w:p>
        </w:tc>
        <w:tc>
          <w:tcPr>
            <w:tcW w:w="16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534</w:t>
            </w:r>
          </w:p>
        </w:tc>
        <w:tc>
          <w:tcPr>
            <w:tcW w:w="10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30,669</w:t>
            </w: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17,642</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(34,438)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30,669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Balance Sheet</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Combined</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Combined Non-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Guarantor</w:t>
            </w: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guarantor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Subsidiaries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Eliminations</w:t>
            </w:r>
          </w:p>
        </w:tc>
        <w:tc>
          <w:tcPr>
            <w:tcW w:w="80" w:type="dxa"/>
            <w:vAlign w:val="bottom"/>
          </w:tcPr>
          <w:p>
            <w:pPr>
              <w:spacing w:after="0"/>
              <w:rPr>
                <w:sz w:val="20"/>
                <w:szCs w:val="20"/>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36,051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88,105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80,634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2,251</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242,234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Intercompany accounts receivable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1,851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(8,615)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60,696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117,706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14,061</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26,408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43,015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Intercompany other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256,324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511,974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(45,080)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726,182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116,596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199,371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315,967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Prepaid debt fees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47,947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20,987</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13,206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64,040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355,096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419,136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1,149,151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1,323,932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17,502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(18,954)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Intercompany notes receivable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1,755,420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(1,852,807)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2,448,685</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101,803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2,249,785</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(1,916,841)</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2,883,432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6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49,885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143,850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38,206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Intercompany accounts payable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6,491</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(8,615)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Wages and benefits payable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51,367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Taxes payable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32,698</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Current portion of warranty</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13,195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 revenue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3,354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intercompany advances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(35,829)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144,373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323,719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(44,444)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426,784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812,991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Pension plan benefits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59,026</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Intercompany notes payable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97,386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1,755,421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(1,852,807)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128,995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58,819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1,037,843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2,328,862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(1,897,251)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1,472,590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1,294,425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107,165</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80,542</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(187,707)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1,294,425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Accumulated other comprehensive income (loss), net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91,320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(9,200)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15,655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(6,455)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Retained earnings (accumulated deficit)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25,097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(175,274)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174,572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25,097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1,410,842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(79,077)</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1,410,842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2,448,685</w:t>
            </w:r>
          </w:p>
        </w:tc>
        <w:tc>
          <w:tcPr>
            <w:tcW w:w="16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101,803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2,249,785</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(1,916,841)</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2,883,432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Consolidating Balance Sheet</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Combined</w:t>
            </w:r>
          </w:p>
        </w:tc>
        <w:tc>
          <w:tcPr>
            <w:tcW w:w="1460" w:type="dxa"/>
            <w:vAlign w:val="bottom"/>
            <w:gridSpan w:val="3"/>
          </w:tcPr>
          <w:p>
            <w:pPr>
              <w:ind w:left="20"/>
              <w:spacing w:after="0"/>
              <w:rPr>
                <w:sz w:val="20"/>
                <w:szCs w:val="20"/>
                <w:color w:val="auto"/>
              </w:rPr>
            </w:pPr>
            <w:r>
              <w:rPr>
                <w:rFonts w:ascii="Arial" w:cs="Arial" w:eastAsia="Arial" w:hAnsi="Arial"/>
                <w:sz w:val="18"/>
                <w:szCs w:val="18"/>
                <w:b w:val="1"/>
                <w:bCs w:val="1"/>
                <w:color w:val="auto"/>
              </w:rPr>
              <w:t>Combined Non-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Guarantor</w:t>
            </w:r>
          </w:p>
        </w:tc>
        <w:tc>
          <w:tcPr>
            <w:tcW w:w="12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guarantor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9"/>
              </w:rPr>
              <w:t>Subsidiaries</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7"/>
              </w:rPr>
              <w:t>Eliminations</w:t>
            </w:r>
          </w:p>
        </w:tc>
        <w:tc>
          <w:tcPr>
            <w:tcW w:w="80" w:type="dxa"/>
            <w:vAlign w:val="bottom"/>
          </w:tcPr>
          <w:p>
            <w:pPr>
              <w:spacing w:after="0"/>
              <w:rPr>
                <w:sz w:val="20"/>
                <w:szCs w:val="20"/>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vMerge w:val="restart"/>
          </w:tcPr>
          <w:p>
            <w:pPr>
              <w:ind w:left="188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0"/>
              </w:rPr>
              <w:t>(in thousands)</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5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67,404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73,806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89,458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7,868</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223,952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Intercompany accounts receivable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3,323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(15,138)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52,248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7,276</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105,280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164,210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 net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20,546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18,360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37,429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Intercompany other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6,302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266,061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22,652</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457,836</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(28,832)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717,717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96,952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16,296</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194,469</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307,717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Prepaid debt fees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53,950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989</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(24,022)</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12,110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54,370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27,303</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400,213</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481,886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57,540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1,113,173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46,393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151,268</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(146,364)</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(51,297)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Intercompany notes receivable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1,706,034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(1,708,359)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2,359,048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276,048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2,009,740</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(1,788,488)</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2,856,348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6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36,962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158,565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19,307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46,932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Intercompany accounts payable</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10,187</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(15,138)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Wages and benefits payable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Taxes payable</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3,496</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12,730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Current portion of warranty</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8,481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14,630</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Unearned revenue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1,927</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Short-term intercompany advances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2,704</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5,395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128,629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15,641</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308,389</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(28,238)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424,421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1,140,998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1,140,998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Warranty</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3,335</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Pension plan benefits</w:t>
            </w:r>
          </w:p>
        </w:tc>
        <w:tc>
          <w:tcPr>
            <w:tcW w:w="2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55,811</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Intercompany notes payable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1,702,534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(1,708,359)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10,615</w:t>
            </w:r>
          </w:p>
        </w:tc>
        <w:tc>
          <w:tcPr>
            <w:tcW w:w="1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92,105</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obligations</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2,389</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38,126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1,300,272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33,597</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2,200,300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(1,736,597)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1,797,572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992,184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246,982</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(47,520)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(199,462)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income(loss), net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34,093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1,930</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(11,416)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Retained earnings (accumulated deficit)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50,291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(6,461)</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(131,624)</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138,085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Cumulative effect of change in accounting principle</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680"/>
              <w:spacing w:after="0"/>
              <w:rPr>
                <w:sz w:val="20"/>
                <w:szCs w:val="20"/>
                <w:color w:val="auto"/>
              </w:rPr>
            </w:pPr>
            <w:r>
              <w:rPr>
                <w:rFonts w:ascii="Arial" w:cs="Arial" w:eastAsia="Arial" w:hAnsi="Arial"/>
                <w:sz w:val="18"/>
                <w:szCs w:val="18"/>
                <w:color w:val="auto"/>
              </w:rPr>
              <w:t>Total shareholders' equity</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1,058,776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242,451</w:t>
            </w: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(190,560)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(51,891)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1,058,776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2,359,048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276,048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2,009,740</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(1,788,488)</w:t>
            </w:r>
          </w:p>
        </w:tc>
        <w:tc>
          <w:tcPr>
            <w:tcW w:w="3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2,856,348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3" w:name="page34"/>
    <w:bookmarkEnd w:id="3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9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Consolidating Statement of Cash Flows</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Nine Months Ended September 30,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Combined</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Combined Non-</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Guarantor</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guarantor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Subsidiaries</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Eliminations</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Consolidated</w:t>
            </w: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(2,775)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(48,013)</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50,788</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ind w:left="100"/>
              <w:spacing w:after="0" w:line="201" w:lineRule="exact"/>
              <w:rPr>
                <w:sz w:val="20"/>
                <w:szCs w:val="20"/>
                <w:color w:val="auto"/>
              </w:rPr>
            </w:pPr>
            <w:r>
              <w:rPr>
                <w:rFonts w:ascii="Arial" w:cs="Arial" w:eastAsia="Arial" w:hAnsi="Arial"/>
                <w:sz w:val="18"/>
                <w:szCs w:val="18"/>
                <w:color w:val="auto"/>
                <w:w w:val="91"/>
              </w:rPr>
              <w:t>Adjustments to reconcile net loss to net cash provided by operating</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activities: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35,253</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78,559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13,467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prepaid debt fees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Amortization of convertible debt discount</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7,262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extinguishment of debt, net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Deferred income taxes, net</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(37,015)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(14,326)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Equity in losses of guarantor and non-guarantor subsidiaries, net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45,322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5,466</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(50,788)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216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15,280</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(2,833)</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w w:val="99"/>
              </w:rPr>
              <w:t>Accounts payables, other current liabilities, and taxes payable</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(3,376)</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750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Wages and benefits payable</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(7,973)</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10,773</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(1,839)</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Warranty</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Intercompany transactions, net</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(2,224)</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(9,010)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4,067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6,040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87,087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Acquisitions of property, plant, and equipment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(16,946)</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(20,731)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tcPr>
          <w:p>
            <w:pPr>
              <w:ind w:left="100"/>
              <w:spacing w:after="0" w:line="201" w:lineRule="exact"/>
              <w:rPr>
                <w:sz w:val="20"/>
                <w:szCs w:val="20"/>
                <w:color w:val="auto"/>
              </w:rPr>
            </w:pPr>
            <w:r>
              <w:rPr>
                <w:rFonts w:ascii="Arial" w:cs="Arial" w:eastAsia="Arial" w:hAnsi="Arial"/>
                <w:sz w:val="18"/>
                <w:szCs w:val="18"/>
                <w:color w:val="auto"/>
              </w:rPr>
              <w:t>Business acquisitions &amp; contingent consideration, net of cash</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equivalents acquired</w:t>
            </w:r>
          </w:p>
        </w:tc>
        <w:tc>
          <w:tcPr>
            <w:tcW w:w="2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(1,317)</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intercompany notes, net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(20,661)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1,217</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19,444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Long-term intercompany notes receivable, net</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3,660</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(3,850)</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1,135</w:t>
            </w: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(945)</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2,421</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(34,558)</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(3,222)</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(15,958)</w:t>
            </w: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18,499</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(35,239)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Payments on debt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(236,495)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165,235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165,235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intercompany notes, net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20,698</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(19,444)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Long-term intercompany notes payable, net</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945</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Prepaid debt fees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(1,309)</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(used in) provided by financing activities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(77,235)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19,229</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(18,499)</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89"/>
              </w:rPr>
              <w:t>Effect of foreign exchange rate changes on cash and cash equivalents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4,988</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(34,293)</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14,299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67,404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73,806</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144,390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transferred from guarantor to parent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36,051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88,105</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124,721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Non-cash transactions: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Fixed assets purchased but not yet paid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3,881</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Exchange of debt for common stock (see Note 6)</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120,984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120,984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Contingent consideration payable for previous acquisitions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paid during the period for:</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20"/>
              <w:spacing w:after="0"/>
              <w:rPr>
                <w:sz w:val="20"/>
                <w:szCs w:val="20"/>
                <w:color w:val="auto"/>
              </w:rPr>
            </w:pPr>
            <w:r>
              <w:rPr>
                <w:rFonts w:ascii="Arial" w:cs="Arial" w:eastAsia="Arial" w:hAnsi="Arial"/>
                <w:sz w:val="18"/>
                <w:szCs w:val="18"/>
                <w:color w:val="auto"/>
              </w:rPr>
              <w:t>Income taxes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539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18,769</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net of amounts capitalized</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43,199</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43,207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8472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472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504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w:t>
              </w:r>
            </w:hyperlink>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940" w:type="dxa"/>
            <w:vAlign w:val="bottom"/>
            <w:tcBorders>
              <w:top w:val="single" w:sz="8" w:color="0000EE"/>
            </w:tcBorders>
          </w:tcPr>
          <w:p>
            <w:pPr>
              <w:spacing w:after="0"/>
              <w:rPr>
                <w:sz w:val="24"/>
                <w:szCs w:val="24"/>
                <w:color w:val="auto"/>
              </w:rPr>
            </w:pPr>
          </w:p>
        </w:tc>
        <w:tc>
          <w:tcPr>
            <w:tcW w:w="6620" w:type="dxa"/>
            <w:vAlign w:val="bottom"/>
            <w:gridSpan w:val="7"/>
          </w:tcPr>
          <w:p>
            <w:pPr>
              <w:jc w:val="right"/>
              <w:ind w:right="400"/>
              <w:spacing w:after="0"/>
              <w:rPr>
                <w:sz w:val="20"/>
                <w:szCs w:val="20"/>
                <w:color w:val="auto"/>
              </w:rPr>
            </w:pPr>
            <w:r>
              <w:rPr>
                <w:rFonts w:ascii="Arial" w:cs="Arial" w:eastAsia="Arial" w:hAnsi="Arial"/>
                <w:sz w:val="18"/>
                <w:szCs w:val="18"/>
                <w:b w:val="1"/>
                <w:bCs w:val="1"/>
                <w:color w:val="auto"/>
              </w:rPr>
              <w:t>Consolidating Statement of Cash Flows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62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rPr>
              <w:t>Nine Months Ended September 30, 2008</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Combined</w:t>
            </w: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Combined Non-</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Guarantor</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guarantor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Parent</w:t>
            </w:r>
          </w:p>
        </w:tc>
        <w:tc>
          <w:tcPr>
            <w:tcW w:w="100" w:type="dxa"/>
            <w:vAlign w:val="bottom"/>
          </w:tcPr>
          <w:p>
            <w:pPr>
              <w:spacing w:after="0"/>
              <w:rPr>
                <w:sz w:val="20"/>
                <w:szCs w:val="20"/>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Subsidiaries</w:t>
            </w: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Subsidiaries</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7"/>
              </w:rPr>
              <w:t>Eliminations</w:t>
            </w:r>
          </w:p>
        </w:tc>
        <w:tc>
          <w:tcPr>
            <w:tcW w:w="1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1"/>
              </w:rPr>
              <w:t>Consolidated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40" w:type="dxa"/>
            <w:vAlign w:val="bottom"/>
            <w:gridSpan w:val="3"/>
          </w:tcPr>
          <w:p>
            <w:pPr>
              <w:spacing w:after="0"/>
              <w:rPr>
                <w:sz w:val="20"/>
                <w:szCs w:val="20"/>
                <w:color w:val="auto"/>
              </w:rPr>
            </w:pPr>
            <w:r>
              <w:rPr>
                <w:rFonts w:ascii="Arial" w:cs="Arial" w:eastAsia="Arial" w:hAnsi="Arial"/>
                <w:sz w:val="18"/>
                <w:szCs w:val="18"/>
                <w:color w:val="auto"/>
              </w:rPr>
              <w:t>Operating activities</w:t>
            </w: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(34,438)</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30,669</w:t>
            </w: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2"/>
              </w:rPr>
              <w:t>Adjustments to reconcile net income (loss) to net cash provided by</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30,551</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101,086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12,560</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prepaid debt fees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Amortization of convertible debt discount</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9,995</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(2,350)</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(25,984)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Equity in (earnings) losses of guarantor and non-guarantor</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subsidiaries, net</w:t>
            </w: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31,203</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20"/>
                <w:szCs w:val="20"/>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(30,669)</w:t>
            </w:r>
          </w:p>
        </w:tc>
        <w:tc>
          <w:tcPr>
            <w:tcW w:w="2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Changes in operating assets and liabilities, net of acquisitions: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9,368</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(17,428)</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Accounts payables, other current liabilities, and taxes payable</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10,486</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Wages and benefits payable</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12,837</w:t>
            </w: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2,207</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Unearned revenue</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5,480</w:t>
            </w: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Warranty</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(1,803)</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Intercompany transactions, net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5,209</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(3,450)</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(10,272)</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(12,910)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14,203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Acquisitions of property, plant, and equipment</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(22,439)</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(1,434)</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(17,549)</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(41,422)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Business acquisitions &amp; contingent consideration, net of cash</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equivalents acquired</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Current intercompany notes, net</w:t>
            </w: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4,197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7,806</w:t>
            </w:r>
          </w:p>
        </w:tc>
        <w:tc>
          <w:tcPr>
            <w:tcW w:w="3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(19,809)</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Long-term intercompany notes receivable, net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6,008</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(8,058)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(10,808)</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10,467</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 cash (used in) provided by investing activities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(30,377)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11,375</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6,732</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(27,867)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Payments on debt</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(384,426)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(384,426)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Issuance of common stock</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323,424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323,424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Prepaid debt fees</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received from parent</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Cash received from guarantor subsidiaries</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(7,806)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received from non-guarantor subsidiaries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(7,806)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100"/>
              <w:spacing w:after="0"/>
              <w:rPr>
                <w:sz w:val="20"/>
                <w:szCs w:val="20"/>
                <w:color w:val="auto"/>
              </w:rPr>
            </w:pPr>
            <w:r>
              <w:rPr>
                <w:rFonts w:ascii="Arial" w:cs="Arial" w:eastAsia="Arial" w:hAnsi="Arial"/>
                <w:sz w:val="18"/>
                <w:szCs w:val="18"/>
                <w:color w:val="auto"/>
              </w:rPr>
              <w:t>Intercompany notes payable</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(5,933)</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(2,050)</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net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(69,134)</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(13,739)</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(6,247)</w:t>
            </w: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27,867</w:t>
            </w:r>
          </w:p>
        </w:tc>
        <w:tc>
          <w:tcPr>
            <w:tcW w:w="2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(61,253)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Effect of foreign exchange rate changes on cash and cash equivalents</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569</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Increase in cash and cash equivalents</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36,058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15,257</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55,403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62,387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63,995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77,644</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147,391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i w:val="1"/>
                <w:iCs w:val="1"/>
                <w:color w:val="auto"/>
              </w:rPr>
              <w:t>Non-cash transactions:</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Fixed assets purchased but not yet paid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2,133</w:t>
            </w:r>
          </w:p>
        </w:tc>
        <w:tc>
          <w:tcPr>
            <w:tcW w:w="320" w:type="dxa"/>
            <w:vAlign w:val="bottom"/>
            <w:shd w:val="clear" w:color="auto" w:fill="CCEEFF"/>
          </w:tcPr>
          <w:p>
            <w:pPr>
              <w:jc w:val="right"/>
              <w:ind w:right="162"/>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jc w:val="right"/>
              <w:ind w:right="122"/>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Cash paid during the period for:</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220"/>
              <w:spacing w:after="0"/>
              <w:rPr>
                <w:sz w:val="20"/>
                <w:szCs w:val="20"/>
                <w:color w:val="auto"/>
              </w:rPr>
            </w:pPr>
            <w:r>
              <w:rPr>
                <w:rFonts w:ascii="Arial" w:cs="Arial" w:eastAsia="Arial" w:hAnsi="Arial"/>
                <w:sz w:val="18"/>
                <w:szCs w:val="18"/>
                <w:color w:val="auto"/>
              </w:rPr>
              <w:t>Income taxes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16,562</w:t>
            </w:r>
          </w:p>
        </w:tc>
        <w:tc>
          <w:tcPr>
            <w:tcW w:w="320" w:type="dxa"/>
            <w:vAlign w:val="bottom"/>
          </w:tcPr>
          <w:p>
            <w:pPr>
              <w:jc w:val="right"/>
              <w:ind w:right="162"/>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16,699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net of amounts capitalized</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57,668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57" w:right="21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5"/>
          <w:szCs w:val="15"/>
          <w:b w:val="1"/>
          <w:bCs w:val="1"/>
          <w:color w:val="auto"/>
        </w:rPr>
        <w:t>Subsequent Events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have evaluated subsequent events through November 2, 2009, the date of issuance of our condensed consolidated financial statements.</w:t>
      </w:r>
    </w:p>
    <w:p>
      <w:pPr>
        <w:spacing w:after="0" w:line="200" w:lineRule="exact"/>
        <w:rPr>
          <w:sz w:val="20"/>
          <w:szCs w:val="20"/>
          <w:color w:val="auto"/>
        </w:rPr>
      </w:pPr>
    </w:p>
    <w:p>
      <w:pPr>
        <w:spacing w:after="0" w:line="3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this Quarterly Report on Form 10-Q, the terms “we,” “us,” “our,” “Itron,” and the “Company” refer to Itron, Inc.</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unaudited condensed consolidated financial statements and notes included in this report and with our Annual Report on Form 10-K for the year ended December 31, 2008 filed with the Securities and Exchange Commission (SEC) on February 26, 2009.</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Documents we provide to the Securities and Exchange Commission are available free of charge under the Investors section of our website at </w:t>
      </w:r>
      <w:r>
        <w:rPr>
          <w:rFonts w:ascii="Arial" w:cs="Arial" w:eastAsia="Arial" w:hAnsi="Arial"/>
          <w:sz w:val="18"/>
          <w:szCs w:val="18"/>
          <w:i w:val="1"/>
          <w:iCs w:val="1"/>
          <w:color w:val="auto"/>
        </w:rPr>
        <w:t>www.itron.com</w:t>
      </w:r>
      <w:r>
        <w:rPr>
          <w:rFonts w:ascii="Arial" w:cs="Arial" w:eastAsia="Arial" w:hAnsi="Arial"/>
          <w:sz w:val="18"/>
          <w:szCs w:val="18"/>
          <w:color w:val="auto"/>
        </w:rPr>
        <w:t xml:space="preserve"> as soon as practicable after they are filed with or furnished to the SEC. In addition, these documents are available at the SEC’s website (http://</w:t>
      </w:r>
      <w:r>
        <w:rPr>
          <w:rFonts w:ascii="Arial" w:cs="Arial" w:eastAsia="Arial" w:hAnsi="Arial"/>
          <w:sz w:val="18"/>
          <w:szCs w:val="18"/>
          <w:i w:val="1"/>
          <w:iCs w:val="1"/>
          <w:color w:val="auto"/>
        </w:rPr>
        <w:t>www.sec.gov</w:t>
      </w:r>
      <w:r>
        <w:rPr>
          <w:rFonts w:ascii="Arial" w:cs="Arial" w:eastAsia="Arial" w:hAnsi="Arial"/>
          <w:sz w:val="18"/>
          <w:szCs w:val="18"/>
          <w:color w:val="auto"/>
        </w:rPr>
        <w:t>) and at the SEC’s Headquarters at 100 F Street, NE, Washington, DC 20549, or by calling 1-800-SEC-0330.</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Quarterly Report on Form 10-Q.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competition, 4) changes in estimated liabilities for product warranties and/or litigation, 5) our dependence on customers’ acceptance of new product and their performance, 6) changes in domestic and international laws and regulations, 7) future business combinations, 8) changes in estimates for stock-based compensation or pension costs, 9) changes in foreign currency exchange rates, 10) international business risks, 11) our own and our customers’ or suppliers’ access to and cost of capital, and 12) other factors. You should not solely rely on these forward-looking statements as they are only valid as of the date of this Quarterly Report on Form 10-Q. We do not have any obligation to publicly update or revise any forward-looking statement in this document. For a more complete description of these and other risks, see “Risk Factors” within Item 1A included in our Annual Report on Form 10-K for the fiscal year ended December 31, 2008, which was filed with the SEC on February 26, 2009, and Item 1A included in our Quarterly Report on Form 10-Q for the three months ended March 31, 2009, which was filed with the SEC on May 5,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derive the majority of our revenues from sales of products and services to utilities. Our products and services include hardware, software, managed services, and consulting. Cost of revenues includes materials, labor, overhead, warranty expense, and distribution and documentation costs for software.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2009 financial results have been negatively impacted by a number of factors including economic uncertainty, a shift in technology choice for some utilities from automated meter reading (AMR) to advanced metering infrastructure (AMI) systems, foreign exchange rate volatility, and delayed purchases for customers awaiting approval of projects that may qualify for stimulus funding through the American Recovery and Reinvestment Act of 2009.</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 the current economic environment and foreign exchange rate volatility, we considered it prudent to strengthen our financial position. As a result, during the nine months ended September 30, 2009, we reduced our borrowings by $357 million, issued $289 million in common stock, and amended our credit facility to reduce our current and future covenant requirements.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Twelve-month backlog was $749 million at September 30, 2009, compared with $436 million at September 30, 2008.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76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40" w:type="dxa"/>
            <w:vAlign w:val="bottom"/>
            <w:gridSpan w:val="7"/>
          </w:tcPr>
          <w:p>
            <w:pPr>
              <w:ind w:left="84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1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5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4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19"/>
                <w:szCs w:val="19"/>
                <w:color w:val="auto"/>
              </w:rPr>
            </w:pPr>
          </w:p>
        </w:tc>
      </w:tr>
      <w:tr>
        <w:trPr>
          <w:trHeight w:val="216"/>
        </w:trPr>
        <w:tc>
          <w:tcPr>
            <w:tcW w:w="1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7"/>
              </w:rPr>
              <w:t>(in millions, except gross margin)</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1"/>
              </w:rPr>
              <w:t>(in millions, except gross margin)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3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484.8</w:t>
            </w:r>
          </w:p>
        </w:tc>
        <w:tc>
          <w:tcPr>
            <w:tcW w:w="160" w:type="dxa"/>
            <w:vAlign w:val="bottom"/>
            <w:shd w:val="clear" w:color="auto" w:fill="CCEEFF"/>
          </w:tcPr>
          <w:p>
            <w:pPr>
              <w:spacing w:after="0"/>
              <w:rPr>
                <w:sz w:val="18"/>
                <w:szCs w:val="18"/>
                <w:color w:val="auto"/>
              </w:rPr>
            </w:pPr>
          </w:p>
        </w:tc>
        <w:tc>
          <w:tcPr>
            <w:tcW w:w="14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(16%)</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1,477.2</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16"/>
        </w:trPr>
        <w:tc>
          <w:tcPr>
            <w:tcW w:w="1400" w:type="dxa"/>
            <w:vAlign w:val="bottom"/>
          </w:tcPr>
          <w:p>
            <w:pPr>
              <w:spacing w:after="0"/>
              <w:rPr>
                <w:sz w:val="20"/>
                <w:szCs w:val="20"/>
                <w:color w:val="auto"/>
              </w:rPr>
            </w:pPr>
            <w:r>
              <w:rPr>
                <w:rFonts w:ascii="Arial" w:cs="Arial" w:eastAsia="Arial" w:hAnsi="Arial"/>
                <w:sz w:val="18"/>
                <w:szCs w:val="18"/>
                <w:color w:val="auto"/>
              </w:rPr>
              <w:t>Gross Profit</w:t>
            </w:r>
          </w:p>
        </w:tc>
        <w:tc>
          <w:tcPr>
            <w:tcW w:w="13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129.5</w:t>
            </w:r>
          </w:p>
        </w:tc>
        <w:tc>
          <w:tcPr>
            <w:tcW w:w="160" w:type="dxa"/>
            <w:vAlign w:val="bottom"/>
          </w:tcPr>
          <w:p>
            <w:pPr>
              <w:spacing w:after="0"/>
              <w:rPr>
                <w:sz w:val="18"/>
                <w:szCs w:val="18"/>
                <w:color w:val="auto"/>
              </w:rPr>
            </w:pP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162.9</w:t>
            </w:r>
          </w:p>
        </w:tc>
        <w:tc>
          <w:tcPr>
            <w:tcW w:w="160" w:type="dxa"/>
            <w:vAlign w:val="bottom"/>
          </w:tcPr>
          <w:p>
            <w:pPr>
              <w:spacing w:after="0"/>
              <w:rPr>
                <w:sz w:val="18"/>
                <w:szCs w:val="18"/>
                <w:color w:val="auto"/>
              </w:rPr>
            </w:pPr>
          </w:p>
        </w:tc>
        <w:tc>
          <w:tcPr>
            <w:tcW w:w="1460" w:type="dxa"/>
            <w:vAlign w:val="bottom"/>
          </w:tcPr>
          <w:p>
            <w:pPr>
              <w:ind w:left="560"/>
              <w:spacing w:after="0"/>
              <w:rPr>
                <w:sz w:val="20"/>
                <w:szCs w:val="20"/>
                <w:color w:val="auto"/>
              </w:rPr>
            </w:pPr>
            <w:r>
              <w:rPr>
                <w:rFonts w:ascii="Arial" w:cs="Arial" w:eastAsia="Arial" w:hAnsi="Arial"/>
                <w:sz w:val="18"/>
                <w:szCs w:val="18"/>
                <w:color w:val="auto"/>
              </w:rPr>
              <w:t>(21%)</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392.2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501.7</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9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59"/>
        </w:trPr>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ind w:left="58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14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472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Table of Content</w:t>
              </w:r>
            </w:hyperlink>
          </w:p>
        </w:tc>
        <w:tc>
          <w:tcPr>
            <w:tcW w:w="3320" w:type="dxa"/>
            <w:vAlign w:val="bottom"/>
            <w:gridSpan w:val="7"/>
            <w:vMerge w:val="restart"/>
          </w:tcPr>
          <w:p>
            <w:pPr>
              <w:ind w:left="22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gridSpan w:val="6"/>
            <w:vMerge w:val="restart"/>
          </w:tcPr>
          <w:p>
            <w:pPr>
              <w:ind w:left="6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3760" w:type="dxa"/>
            <w:vAlign w:val="bottom"/>
          </w:tcPr>
          <w:p>
            <w:pPr>
              <w:spacing w:after="0"/>
              <w:rPr>
                <w:sz w:val="18"/>
                <w:szCs w:val="18"/>
                <w:color w:val="auto"/>
              </w:rPr>
            </w:pPr>
          </w:p>
        </w:tc>
        <w:tc>
          <w:tcPr>
            <w:tcW w:w="3320" w:type="dxa"/>
            <w:vAlign w:val="bottom"/>
            <w:gridSpan w:val="7"/>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0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20" w:type="dxa"/>
            <w:vAlign w:val="bottom"/>
            <w:gridSpan w:val="3"/>
            <w:vMerge w:val="restart"/>
          </w:tcPr>
          <w:p>
            <w:pPr>
              <w:spacing w:after="0"/>
              <w:rPr>
                <w:sz w:val="20"/>
                <w:szCs w:val="20"/>
                <w:color w:val="auto"/>
              </w:rPr>
            </w:pPr>
            <w:r>
              <w:rPr>
                <w:rFonts w:ascii="Arial" w:cs="Arial" w:eastAsia="Arial" w:hAnsi="Arial"/>
                <w:sz w:val="18"/>
                <w:szCs w:val="18"/>
                <w:color w:val="auto"/>
              </w:rPr>
              <w:t>Revenues by region</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1680" w:type="dxa"/>
            <w:vAlign w:val="bottom"/>
            <w:gridSpan w:val="4"/>
          </w:tcPr>
          <w:p>
            <w:pPr>
              <w:jc w:val="center"/>
              <w:ind w:right="1050"/>
              <w:spacing w:after="0"/>
              <w:rPr>
                <w:sz w:val="20"/>
                <w:szCs w:val="20"/>
                <w:color w:val="auto"/>
              </w:rPr>
            </w:pPr>
            <w:r>
              <w:rPr>
                <w:rFonts w:ascii="Arial" w:cs="Arial" w:eastAsia="Arial" w:hAnsi="Arial"/>
                <w:sz w:val="18"/>
                <w:szCs w:val="18"/>
                <w:b w:val="1"/>
                <w:bCs w:val="1"/>
                <w:color w:val="auto"/>
                <w:w w:val="72"/>
              </w:rPr>
              <w:t>millions)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20" w:type="dxa"/>
            <w:vAlign w:val="bottom"/>
            <w:gridSpan w:val="3"/>
            <w:vMerge w:val="continue"/>
          </w:tcPr>
          <w:p>
            <w:pPr>
              <w:spacing w:after="0"/>
              <w:rPr>
                <w:sz w:val="17"/>
                <w:szCs w:val="17"/>
                <w:color w:val="auto"/>
              </w:rPr>
            </w:pP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Europe</w:t>
            </w:r>
          </w:p>
        </w:tc>
        <w:tc>
          <w:tcPr>
            <w:tcW w:w="1000" w:type="dxa"/>
            <w:vAlign w:val="bottom"/>
            <w:shd w:val="clear" w:color="auto" w:fill="CCEEFF"/>
          </w:tcPr>
          <w:p>
            <w:pPr>
              <w:jc w:val="right"/>
              <w:ind w:right="83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610.9</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560"/>
              <w:spacing w:after="0"/>
              <w:rPr>
                <w:sz w:val="20"/>
                <w:szCs w:val="20"/>
                <w:color w:val="auto"/>
              </w:rPr>
            </w:pPr>
            <w:r>
              <w:rPr>
                <w:rFonts w:ascii="Arial" w:cs="Arial" w:eastAsia="Arial" w:hAnsi="Arial"/>
                <w:sz w:val="18"/>
                <w:szCs w:val="18"/>
                <w:color w:val="auto"/>
              </w:rPr>
              <w:t>United States and Canada</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402.8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Borders>
              <w:right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760" w:type="dxa"/>
            <w:vAlign w:val="bottom"/>
            <w:tcBorders>
              <w:right w:val="single" w:sz="8" w:color="CCEEFF"/>
            </w:tcBorders>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0" w:type="dxa"/>
            <w:vAlign w:val="bottom"/>
          </w:tcPr>
          <w:p>
            <w:pPr>
              <w:jc w:val="right"/>
              <w:ind w:right="83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408.4</w:t>
            </w:r>
          </w:p>
        </w:tc>
        <w:tc>
          <w:tcPr>
            <w:tcW w:w="1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484.8</w:t>
            </w:r>
          </w:p>
        </w:tc>
        <w:tc>
          <w:tcPr>
            <w:tcW w:w="100" w:type="dxa"/>
            <w:vAlign w:val="bottom"/>
          </w:tcPr>
          <w:p>
            <w:pPr>
              <w:spacing w:after="0"/>
              <w:rPr>
                <w:sz w:val="18"/>
                <w:szCs w:val="18"/>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1,210.6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1,477.2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 xml:space="preserve">Revenues decreased 16% and 18% for the three and nine months ended September 30, 2009, compared with the same periods in 2008, or $76.4 million and $266.6 million, respectively. A strengthening U.S. dollar against most foreign currencies accounted for 32% and 50% of the decrease in revenues for each of the respective periods. A more detailed analysis of these fluctuations is provided in </w:t>
      </w:r>
      <w:r>
        <w:rPr>
          <w:rFonts w:ascii="Arial" w:cs="Arial" w:eastAsia="Arial" w:hAnsi="Arial"/>
          <w:sz w:val="17"/>
          <w:szCs w:val="17"/>
          <w:i w:val="1"/>
          <w:iCs w:val="1"/>
          <w:color w:val="auto"/>
        </w:rPr>
        <w:t>Operating Segment Results.</w:t>
      </w:r>
    </w:p>
    <w:p>
      <w:pPr>
        <w:spacing w:after="0" w:line="2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customer represented more than 10% of total revenues for the three and nine months ended September 30, 2009 and 2008. Our 10 largest customers accounted for approximately 16% and 12% of total revenues for the three and nine months ended September 30, 2009, and 16% of total revenues for each of the same periods in 2008.</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Gross margin was 32% for the three and nine months ended September 30, 2009, compared with 34% during the same periods in 2008. The decrease in gross margin for the three and nine months ended September 30, 2009 was primarily due to a decline in Itron North America’s gross margins. A more detailed analysis of these fluctuations is provided in </w:t>
      </w:r>
      <w:r>
        <w:rPr>
          <w:rFonts w:ascii="Arial" w:cs="Arial" w:eastAsia="Arial" w:hAnsi="Arial"/>
          <w:sz w:val="18"/>
          <w:szCs w:val="18"/>
          <w:i w:val="1"/>
          <w:iCs w:val="1"/>
          <w:color w:val="auto"/>
        </w:rPr>
        <w:t>Operating Segment Results.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Meters are sold with and without advanced functionality (AMR/AMI/smart metering). In addition, smart meter modules can be sold separately from the meter. Depending on customers’ preferences, we also incorporate other vendors’ technology in our meters. A summary of our meter and AMR/AMI modules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 September 30,</w:t>
            </w:r>
          </w:p>
        </w:tc>
        <w:tc>
          <w:tcPr>
            <w:tcW w:w="326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19"/>
                <w:szCs w:val="19"/>
                <w:color w:val="auto"/>
              </w:rPr>
            </w:pP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2009</w:t>
            </w:r>
          </w:p>
        </w:tc>
        <w:tc>
          <w:tcPr>
            <w:tcW w:w="4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700" w:type="dxa"/>
            <w:vAlign w:val="bottom"/>
            <w:gridSpan w:val="2"/>
          </w:tcPr>
          <w:p>
            <w:pPr>
              <w:spacing w:after="0" w:line="201" w:lineRule="exact"/>
              <w:rPr>
                <w:sz w:val="20"/>
                <w:szCs w:val="20"/>
                <w:color w:val="auto"/>
              </w:rPr>
            </w:pPr>
            <w:r>
              <w:rPr>
                <w:rFonts w:ascii="Arial" w:cs="Arial" w:eastAsia="Arial" w:hAnsi="Arial"/>
                <w:sz w:val="18"/>
                <w:szCs w:val="18"/>
                <w:color w:val="auto"/>
              </w:rPr>
              <w:t>Total meters (with and without AMR/AMI)</w:t>
            </w:r>
          </w:p>
        </w:tc>
        <w:tc>
          <w:tcPr>
            <w:tcW w:w="1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(units in</w:t>
            </w:r>
          </w:p>
        </w:tc>
        <w:tc>
          <w:tcPr>
            <w:tcW w:w="1680" w:type="dxa"/>
            <w:vAlign w:val="bottom"/>
            <w:gridSpan w:val="2"/>
          </w:tcPr>
          <w:p>
            <w:pPr>
              <w:jc w:val="right"/>
              <w:ind w:right="750"/>
              <w:spacing w:after="0" w:line="201" w:lineRule="exact"/>
              <w:rPr>
                <w:sz w:val="20"/>
                <w:szCs w:val="20"/>
                <w:color w:val="auto"/>
              </w:rPr>
            </w:pPr>
            <w:r>
              <w:rPr>
                <w:rFonts w:ascii="Arial" w:cs="Arial" w:eastAsia="Arial" w:hAnsi="Arial"/>
                <w:sz w:val="18"/>
                <w:szCs w:val="18"/>
                <w:b w:val="1"/>
                <w:bCs w:val="1"/>
                <w:color w:val="auto"/>
                <w:w w:val="84"/>
              </w:rPr>
              <w:t>thousands)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80" w:type="dxa"/>
            <w:vAlign w:val="bottom"/>
            <w:gridSpan w:val="2"/>
          </w:tcPr>
          <w:p>
            <w:pPr>
              <w:ind w:left="340"/>
              <w:spacing w:after="0"/>
              <w:rPr>
                <w:sz w:val="20"/>
                <w:szCs w:val="20"/>
                <w:color w:val="auto"/>
              </w:rPr>
            </w:pPr>
            <w:r>
              <w:rPr>
                <w:rFonts w:ascii="Arial" w:cs="Arial" w:eastAsia="Arial" w:hAnsi="Arial"/>
                <w:sz w:val="18"/>
                <w:szCs w:val="18"/>
                <w:color w:val="auto"/>
              </w:rPr>
              <w:t>Itron North America</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Electricity</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680"/>
              <w:spacing w:after="0"/>
              <w:rPr>
                <w:sz w:val="20"/>
                <w:szCs w:val="20"/>
                <w:color w:val="auto"/>
              </w:rPr>
            </w:pPr>
            <w:r>
              <w:rPr>
                <w:rFonts w:ascii="Arial" w:cs="Arial" w:eastAsia="Arial" w:hAnsi="Arial"/>
                <w:sz w:val="18"/>
                <w:szCs w:val="18"/>
                <w:color w:val="auto"/>
              </w:rPr>
              <w:t>Gas</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90</w:t>
            </w:r>
          </w:p>
        </w:tc>
        <w:tc>
          <w:tcPr>
            <w:tcW w:w="1700" w:type="dxa"/>
            <w:vAlign w:val="bottom"/>
            <w:gridSpan w:val="2"/>
          </w:tcPr>
          <w:p>
            <w:pPr>
              <w:jc w:val="right"/>
              <w:ind w:right="130"/>
              <w:spacing w:after="0"/>
              <w:rPr>
                <w:sz w:val="20"/>
                <w:szCs w:val="20"/>
                <w:color w:val="auto"/>
              </w:rPr>
            </w:pPr>
            <w:r>
              <w:rPr>
                <w:rFonts w:ascii="Arial" w:cs="Arial" w:eastAsia="Arial" w:hAnsi="Arial"/>
                <w:sz w:val="18"/>
                <w:szCs w:val="18"/>
                <w:color w:val="auto"/>
              </w:rPr>
              <w:t>100</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260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Itron International</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680"/>
              <w:spacing w:after="0"/>
              <w:rPr>
                <w:sz w:val="20"/>
                <w:szCs w:val="20"/>
                <w:color w:val="auto"/>
              </w:rPr>
            </w:pPr>
            <w:r>
              <w:rPr>
                <w:rFonts w:ascii="Arial" w:cs="Arial" w:eastAsia="Arial" w:hAnsi="Arial"/>
                <w:sz w:val="18"/>
                <w:szCs w:val="18"/>
                <w:color w:val="auto"/>
              </w:rPr>
              <w:t>Electricity</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1,890</w:t>
            </w:r>
          </w:p>
        </w:tc>
        <w:tc>
          <w:tcPr>
            <w:tcW w:w="1480" w:type="dxa"/>
            <w:vAlign w:val="bottom"/>
          </w:tcPr>
          <w:p>
            <w:pPr>
              <w:jc w:val="right"/>
              <w:spacing w:after="0"/>
              <w:rPr>
                <w:sz w:val="20"/>
                <w:szCs w:val="20"/>
                <w:color w:val="auto"/>
              </w:rPr>
            </w:pPr>
            <w:r>
              <w:rPr>
                <w:rFonts w:ascii="Arial" w:cs="Arial" w:eastAsia="Arial" w:hAnsi="Arial"/>
                <w:sz w:val="18"/>
                <w:szCs w:val="18"/>
                <w:color w:val="auto"/>
              </w:rPr>
              <w:t>2,060</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5,670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Gas</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1,160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3,880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680"/>
              <w:spacing w:after="0"/>
              <w:rPr>
                <w:sz w:val="20"/>
                <w:szCs w:val="20"/>
                <w:color w:val="auto"/>
              </w:rPr>
            </w:pPr>
            <w:r>
              <w:rPr>
                <w:rFonts w:ascii="Arial" w:cs="Arial" w:eastAsia="Arial" w:hAnsi="Arial"/>
                <w:sz w:val="18"/>
                <w:szCs w:val="18"/>
                <w:color w:val="auto"/>
              </w:rPr>
              <w:t>Water</w:t>
            </w:r>
          </w:p>
        </w:tc>
        <w:tc>
          <w:tcPr>
            <w:tcW w:w="1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1,960</w:t>
            </w:r>
          </w:p>
        </w:tc>
        <w:tc>
          <w:tcPr>
            <w:tcW w:w="1480" w:type="dxa"/>
            <w:vAlign w:val="bottom"/>
          </w:tcPr>
          <w:p>
            <w:pPr>
              <w:jc w:val="right"/>
              <w:spacing w:after="0"/>
              <w:rPr>
                <w:sz w:val="20"/>
                <w:szCs w:val="20"/>
                <w:color w:val="auto"/>
              </w:rPr>
            </w:pPr>
            <w:r>
              <w:rPr>
                <w:rFonts w:ascii="Arial" w:cs="Arial" w:eastAsia="Arial" w:hAnsi="Arial"/>
                <w:sz w:val="18"/>
                <w:szCs w:val="18"/>
                <w:color w:val="auto"/>
              </w:rPr>
              <w:t>2,090</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6,540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meters with and without AMR/AMI</w:t>
            </w:r>
          </w:p>
        </w:tc>
        <w:tc>
          <w:tcPr>
            <w:tcW w:w="1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5,840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6,990</w:t>
            </w:r>
          </w:p>
        </w:tc>
        <w:tc>
          <w:tcPr>
            <w:tcW w:w="2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18,690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meter information (Total Company)</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340"/>
              <w:spacing w:after="0"/>
              <w:rPr>
                <w:sz w:val="20"/>
                <w:szCs w:val="20"/>
                <w:color w:val="auto"/>
              </w:rPr>
            </w:pPr>
            <w:r>
              <w:rPr>
                <w:rFonts w:ascii="Arial" w:cs="Arial" w:eastAsia="Arial" w:hAnsi="Arial"/>
                <w:sz w:val="18"/>
                <w:szCs w:val="18"/>
                <w:color w:val="auto"/>
              </w:rPr>
              <w:t>Meters with AMR</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670</w:t>
            </w:r>
          </w:p>
        </w:tc>
        <w:tc>
          <w:tcPr>
            <w:tcW w:w="148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2,200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Meters with AMI</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Standalone AMR/AMI modules</w:t>
            </w:r>
          </w:p>
        </w:tc>
        <w:tc>
          <w:tcPr>
            <w:tcW w:w="1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1480" w:type="dxa"/>
            <w:vAlign w:val="bottom"/>
          </w:tcPr>
          <w:p>
            <w:pPr>
              <w:jc w:val="right"/>
              <w:spacing w:after="0"/>
              <w:rPr>
                <w:sz w:val="20"/>
                <w:szCs w:val="20"/>
                <w:color w:val="auto"/>
              </w:rPr>
            </w:pPr>
            <w:r>
              <w:rPr>
                <w:rFonts w:ascii="Arial" w:cs="Arial" w:eastAsia="Arial" w:hAnsi="Arial"/>
                <w:sz w:val="18"/>
                <w:szCs w:val="18"/>
                <w:color w:val="auto"/>
              </w:rPr>
              <w:t>1,250</w:t>
            </w:r>
          </w:p>
        </w:tc>
        <w:tc>
          <w:tcPr>
            <w:tcW w:w="220" w:type="dxa"/>
            <w:vAlign w:val="bottom"/>
          </w:tcPr>
          <w:p>
            <w:pPr>
              <w:spacing w:after="0"/>
              <w:rPr>
                <w:sz w:val="18"/>
                <w:szCs w:val="18"/>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2,860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Meters with AMR/AMI and modules</w:t>
            </w:r>
          </w:p>
        </w:tc>
        <w:tc>
          <w:tcPr>
            <w:tcW w:w="1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1,640</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220" w:type="dxa"/>
            <w:vAlign w:val="bottom"/>
            <w:shd w:val="clear" w:color="auto" w:fill="CCEEFF"/>
          </w:tcPr>
          <w:p>
            <w:pPr>
              <w:spacing w:after="0"/>
              <w:rPr>
                <w:sz w:val="22"/>
                <w:szCs w:val="22"/>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Meters with other vendors' AMR/AMI</w:t>
            </w:r>
          </w:p>
        </w:tc>
        <w:tc>
          <w:tcPr>
            <w:tcW w:w="1100" w:type="dxa"/>
            <w:vAlign w:val="bottom"/>
            <w:shd w:val="clear" w:color="auto" w:fill="CCEEFF"/>
          </w:tcPr>
          <w:p>
            <w:pPr>
              <w:spacing w:after="0"/>
              <w:rPr>
                <w:sz w:val="22"/>
                <w:szCs w:val="22"/>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w:t>
            </w:r>
          </w:p>
        </w:tc>
        <w:tc>
          <w:tcPr>
            <w:tcW w:w="1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220</w:t>
            </w: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46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6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4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our operating segments, see Note 14 of the condensed consolidated financial statements. The following tables and discussion highlight significant changes in trends or components of each operating segment.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13"/>
          </w:tcPr>
          <w:p>
            <w:pPr>
              <w:jc w:val="right"/>
              <w:ind w:right="530"/>
              <w:spacing w:after="0"/>
              <w:rPr>
                <w:sz w:val="20"/>
                <w:szCs w:val="20"/>
                <w:color w:val="auto"/>
              </w:rPr>
            </w:pPr>
            <w:r>
              <w:rPr>
                <w:rFonts w:ascii="Arial" w:cs="Arial" w:eastAsia="Arial" w:hAnsi="Arial"/>
                <w:sz w:val="18"/>
                <w:szCs w:val="18"/>
                <w:b w:val="1"/>
                <w:bCs w:val="1"/>
                <w:color w:val="auto"/>
              </w:rPr>
              <w:t>Three Months Ended September 30,</w:t>
            </w: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13"/>
          </w:tcPr>
          <w:p>
            <w:pPr>
              <w:jc w:val="right"/>
              <w:ind w:right="63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2008</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2009</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8"/>
                <w:szCs w:val="18"/>
                <w:b w:val="1"/>
                <w:bCs w:val="1"/>
                <w:color w:val="auto"/>
                <w:w w:val="89"/>
              </w:rPr>
              <w:t>2008</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234"/>
        </w:trPr>
        <w:tc>
          <w:tcPr>
            <w:tcW w:w="32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Segment Revenues</w:t>
            </w:r>
          </w:p>
        </w:tc>
        <w:tc>
          <w:tcPr>
            <w:tcW w:w="100" w:type="dxa"/>
            <w:vAlign w:val="bottom"/>
          </w:tcPr>
          <w:p>
            <w:pPr>
              <w:spacing w:after="0"/>
              <w:rPr>
                <w:sz w:val="20"/>
                <w:szCs w:val="20"/>
                <w:color w:val="auto"/>
              </w:rPr>
            </w:pPr>
          </w:p>
        </w:tc>
        <w:tc>
          <w:tcPr>
            <w:tcW w:w="170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rPr>
              <w:t>(millions)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89"/>
              </w:rPr>
              <w:t>(millions)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Itron North America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137.4</w:t>
            </w:r>
          </w:p>
        </w:tc>
        <w:tc>
          <w:tcPr>
            <w:tcW w:w="62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(22%)</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64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3240" w:type="dxa"/>
            <w:vAlign w:val="bottom"/>
          </w:tcPr>
          <w:p>
            <w:pPr>
              <w:ind w:left="460"/>
              <w:spacing w:after="0"/>
              <w:rPr>
                <w:sz w:val="20"/>
                <w:szCs w:val="20"/>
                <w:color w:val="auto"/>
              </w:rPr>
            </w:pPr>
            <w:r>
              <w:rPr>
                <w:rFonts w:ascii="Arial" w:cs="Arial" w:eastAsia="Arial" w:hAnsi="Arial"/>
                <w:sz w:val="18"/>
                <w:szCs w:val="18"/>
                <w:color w:val="auto"/>
              </w:rPr>
              <w:t>Itron International</w:t>
            </w: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271.0</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308.6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790.9</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949.2</w:t>
            </w:r>
          </w:p>
        </w:tc>
        <w:tc>
          <w:tcPr>
            <w:tcW w:w="200" w:type="dxa"/>
            <w:vAlign w:val="bottom"/>
          </w:tcPr>
          <w:p>
            <w:pPr>
              <w:spacing w:after="0"/>
              <w:rPr>
                <w:sz w:val="18"/>
                <w:szCs w:val="18"/>
                <w:color w:val="auto"/>
              </w:rPr>
            </w:pPr>
          </w:p>
        </w:tc>
        <w:tc>
          <w:tcPr>
            <w:tcW w:w="1060" w:type="dxa"/>
            <w:vAlign w:val="bottom"/>
            <w:gridSpan w:val="2"/>
          </w:tcPr>
          <w:p>
            <w:pPr>
              <w:jc w:val="right"/>
              <w:ind w:right="2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32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left w:val="single" w:sz="8" w:color="auto"/>
            </w:tcBorders>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tcBorders>
              <w:right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408.4</w:t>
            </w:r>
          </w:p>
        </w:tc>
        <w:tc>
          <w:tcPr>
            <w:tcW w:w="620" w:type="dxa"/>
            <w:vAlign w:val="bottom"/>
            <w:tcBorders>
              <w:lef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484.8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(16%)</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1,210.6</w:t>
            </w:r>
          </w:p>
        </w:tc>
        <w:tc>
          <w:tcPr>
            <w:tcW w:w="640" w:type="dxa"/>
            <w:vAlign w:val="bottom"/>
            <w:tcBorders>
              <w:lef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1,477.2</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3"/>
          </w:tcPr>
          <w:p>
            <w:pPr>
              <w:jc w:val="center"/>
              <w:spacing w:after="0"/>
              <w:rPr>
                <w:sz w:val="20"/>
                <w:szCs w:val="20"/>
                <w:color w:val="auto"/>
              </w:rPr>
            </w:pPr>
            <w:r>
              <w:rPr>
                <w:rFonts w:ascii="Arial" w:cs="Arial" w:eastAsia="Arial" w:hAnsi="Arial"/>
                <w:sz w:val="18"/>
                <w:szCs w:val="18"/>
                <w:b w:val="1"/>
                <w:bCs w:val="1"/>
                <w:color w:val="auto"/>
                <w:w w:val="90"/>
              </w:rPr>
              <w:t>Three Months Ended September 30,</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13"/>
          </w:tcPr>
          <w:p>
            <w:pPr>
              <w:jc w:val="center"/>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02"/>
        </w:trPr>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i w:val="1"/>
                <w:iCs w:val="1"/>
                <w:color w:val="auto"/>
                <w:w w:val="84"/>
              </w:rPr>
              <w:t>Gross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260"/>
              <w:spacing w:after="0" w:line="201" w:lineRule="exact"/>
              <w:rPr>
                <w:sz w:val="20"/>
                <w:szCs w:val="20"/>
                <w:color w:val="auto"/>
              </w:rPr>
            </w:pPr>
            <w:r>
              <w:rPr>
                <w:rFonts w:ascii="Arial" w:cs="Arial" w:eastAsia="Arial" w:hAnsi="Arial"/>
                <w:sz w:val="18"/>
                <w:szCs w:val="18"/>
                <w:b w:val="1"/>
                <w:bCs w:val="1"/>
                <w:i w:val="1"/>
                <w:iCs w:val="1"/>
                <w:color w:val="auto"/>
              </w:rPr>
              <w:t>Gross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gridSpan w:val="2"/>
          </w:tcPr>
          <w:p>
            <w:pPr>
              <w:jc w:val="center"/>
              <w:ind w:right="20"/>
              <w:spacing w:after="0" w:line="201" w:lineRule="exact"/>
              <w:rPr>
                <w:sz w:val="20"/>
                <w:szCs w:val="20"/>
                <w:color w:val="auto"/>
              </w:rPr>
            </w:pPr>
            <w:r>
              <w:rPr>
                <w:rFonts w:ascii="Arial" w:cs="Arial" w:eastAsia="Arial" w:hAnsi="Arial"/>
                <w:sz w:val="18"/>
                <w:szCs w:val="18"/>
                <w:b w:val="1"/>
                <w:bCs w:val="1"/>
                <w:i w:val="1"/>
                <w:iCs w:val="1"/>
                <w:color w:val="auto"/>
                <w:w w:val="80"/>
              </w:rPr>
              <w:t>Gross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line="201" w:lineRule="exact"/>
              <w:rPr>
                <w:sz w:val="20"/>
                <w:szCs w:val="20"/>
                <w:color w:val="auto"/>
              </w:rPr>
            </w:pPr>
            <w:r>
              <w:rPr>
                <w:rFonts w:ascii="Arial" w:cs="Arial" w:eastAsia="Arial" w:hAnsi="Arial"/>
                <w:sz w:val="18"/>
                <w:szCs w:val="18"/>
                <w:b w:val="1"/>
                <w:bCs w:val="1"/>
                <w:i w:val="1"/>
                <w:iCs w:val="1"/>
                <w:color w:val="auto"/>
                <w:w w:val="84"/>
              </w:rPr>
              <w:t>Gross</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0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auto"/>
                <w:w w:val="96"/>
              </w:rPr>
              <w:t>Gross Profit</w:t>
            </w:r>
          </w:p>
        </w:tc>
        <w:tc>
          <w:tcPr>
            <w:tcW w:w="140" w:type="dxa"/>
            <w:vAlign w:val="bottom"/>
          </w:tcPr>
          <w:p>
            <w:pPr>
              <w:spacing w:after="0"/>
              <w:rPr>
                <w:sz w:val="20"/>
                <w:szCs w:val="20"/>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94"/>
              </w:rPr>
              <w:t>Margin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6"/>
              </w:rPr>
              <w:t>Gross Profit</w:t>
            </w:r>
          </w:p>
        </w:tc>
        <w:tc>
          <w:tcPr>
            <w:tcW w:w="8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Margin</w:t>
            </w:r>
          </w:p>
        </w:tc>
        <w:tc>
          <w:tcPr>
            <w:tcW w:w="16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6"/>
              </w:rPr>
              <w:t>Gross Profit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8"/>
                <w:szCs w:val="18"/>
                <w:b w:val="1"/>
                <w:bCs w:val="1"/>
                <w:i w:val="1"/>
                <w:iCs w:val="1"/>
                <w:color w:val="auto"/>
                <w:w w:val="94"/>
              </w:rPr>
              <w:t>Margin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ind w:left="20"/>
              <w:spacing w:after="0"/>
              <w:rPr>
                <w:sz w:val="20"/>
                <w:szCs w:val="20"/>
                <w:color w:val="auto"/>
              </w:rPr>
            </w:pPr>
            <w:r>
              <w:rPr>
                <w:rFonts w:ascii="Arial" w:cs="Arial" w:eastAsia="Arial" w:hAnsi="Arial"/>
                <w:sz w:val="18"/>
                <w:szCs w:val="18"/>
                <w:b w:val="1"/>
                <w:bCs w:val="1"/>
                <w:i w:val="1"/>
                <w:iCs w:val="1"/>
                <w:color w:val="auto"/>
                <w:w w:val="86"/>
              </w:rPr>
              <w:t>Gross Profit</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4"/>
              </w:rPr>
              <w:t>Margin</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b w:val="1"/>
                <w:bCs w:val="1"/>
                <w:i w:val="1"/>
                <w:iCs w:val="1"/>
                <w:color w:val="auto"/>
              </w:rPr>
              <w:t>Segment Gross Profit and Margin</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(millions)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(millions)</w:t>
            </w: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(millions)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2"/>
              </w:rPr>
              <w:t>(millions)</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Itron North America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left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31%</w:t>
            </w:r>
          </w:p>
        </w:tc>
        <w:tc>
          <w:tcPr>
            <w:tcW w:w="4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8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38%</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35%</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10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38%</w:t>
            </w:r>
          </w:p>
        </w:tc>
        <w:tc>
          <w:tcPr>
            <w:tcW w:w="0" w:type="dxa"/>
            <w:vAlign w:val="bottom"/>
          </w:tcPr>
          <w:p>
            <w:pPr>
              <w:spacing w:after="0"/>
              <w:rPr>
                <w:sz w:val="1"/>
                <w:szCs w:val="1"/>
                <w:color w:val="auto"/>
              </w:rPr>
            </w:pPr>
          </w:p>
        </w:tc>
      </w:tr>
      <w:tr>
        <w:trPr>
          <w:trHeight w:val="216"/>
        </w:trPr>
        <w:tc>
          <w:tcPr>
            <w:tcW w:w="3240" w:type="dxa"/>
            <w:vAlign w:val="bottom"/>
          </w:tcPr>
          <w:p>
            <w:pPr>
              <w:ind w:left="460"/>
              <w:spacing w:after="0"/>
              <w:rPr>
                <w:sz w:val="20"/>
                <w:szCs w:val="20"/>
                <w:color w:val="auto"/>
              </w:rPr>
            </w:pPr>
            <w:r>
              <w:rPr>
                <w:rFonts w:ascii="Arial" w:cs="Arial" w:eastAsia="Arial" w:hAnsi="Arial"/>
                <w:sz w:val="18"/>
                <w:szCs w:val="18"/>
                <w:color w:val="auto"/>
              </w:rPr>
              <w:t>Itron International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96.4</w:t>
            </w:r>
          </w:p>
        </w:tc>
        <w:tc>
          <w:tcPr>
            <w:tcW w:w="880" w:type="dxa"/>
            <w:vAlign w:val="bottom"/>
          </w:tcPr>
          <w:p>
            <w:pPr>
              <w:jc w:val="center"/>
              <w:ind w:left="70"/>
              <w:spacing w:after="0"/>
              <w:rPr>
                <w:sz w:val="20"/>
                <w:szCs w:val="20"/>
                <w:color w:val="auto"/>
              </w:rPr>
            </w:pPr>
            <w:r>
              <w:rPr>
                <w:rFonts w:ascii="Arial" w:cs="Arial" w:eastAsia="Arial" w:hAnsi="Arial"/>
                <w:sz w:val="18"/>
                <w:szCs w:val="18"/>
                <w:color w:val="auto"/>
                <w:w w:val="88"/>
              </w:rPr>
              <w:t>31%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88"/>
              </w:rPr>
              <w:t>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300.9</w:t>
            </w:r>
          </w:p>
        </w:tc>
        <w:tc>
          <w:tcPr>
            <w:tcW w:w="1060" w:type="dxa"/>
            <w:vAlign w:val="bottom"/>
            <w:gridSpan w:val="2"/>
          </w:tcPr>
          <w:p>
            <w:pPr>
              <w:jc w:val="center"/>
              <w:ind w:left="110"/>
              <w:spacing w:after="0"/>
              <w:rPr>
                <w:sz w:val="20"/>
                <w:szCs w:val="20"/>
                <w:color w:val="auto"/>
              </w:rPr>
            </w:pPr>
            <w:r>
              <w:rPr>
                <w:rFonts w:ascii="Arial" w:cs="Arial" w:eastAsia="Arial" w:hAnsi="Arial"/>
                <w:sz w:val="18"/>
                <w:szCs w:val="18"/>
                <w:color w:val="auto"/>
                <w:w w:val="94"/>
              </w:rPr>
              <w:t>32%</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40" w:type="dxa"/>
            <w:vAlign w:val="bottom"/>
            <w:tcBorders>
              <w:right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4"/>
              </w:rPr>
              <w:t>Total gross profit and margin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12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tcBorders>
              <w:left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32%</w:t>
            </w:r>
          </w:p>
        </w:tc>
        <w:tc>
          <w:tcPr>
            <w:tcW w:w="260" w:type="dxa"/>
            <w:vAlign w:val="bottom"/>
            <w:gridSpan w:val="2"/>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162.9</w:t>
            </w:r>
          </w:p>
        </w:tc>
        <w:tc>
          <w:tcPr>
            <w:tcW w:w="8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34%</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8"/>
              </w:rPr>
              <w:t>32%</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501.7</w:t>
            </w:r>
          </w:p>
        </w:tc>
        <w:tc>
          <w:tcPr>
            <w:tcW w:w="106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4"/>
              </w:rPr>
              <w:t>34%</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13"/>
          </w:tcPr>
          <w:p>
            <w:pPr>
              <w:jc w:val="center"/>
              <w:spacing w:after="0"/>
              <w:rPr>
                <w:sz w:val="20"/>
                <w:szCs w:val="20"/>
                <w:color w:val="auto"/>
              </w:rPr>
            </w:pPr>
            <w:r>
              <w:rPr>
                <w:rFonts w:ascii="Arial" w:cs="Arial" w:eastAsia="Arial" w:hAnsi="Arial"/>
                <w:sz w:val="18"/>
                <w:szCs w:val="18"/>
                <w:b w:val="1"/>
                <w:bCs w:val="1"/>
                <w:color w:val="auto"/>
                <w:w w:val="90"/>
              </w:rPr>
              <w:t>Three Months Ended September 30,</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gridSpan w:val="13"/>
          </w:tcPr>
          <w:p>
            <w:pPr>
              <w:jc w:val="center"/>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2008</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5"/>
          </w:tcPr>
          <w:p>
            <w:pPr>
              <w:jc w:val="right"/>
              <w:ind w:right="73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02"/>
        </w:trPr>
        <w:tc>
          <w:tcPr>
            <w:tcW w:w="3240" w:type="dxa"/>
            <w:vAlign w:val="bottom"/>
          </w:tcPr>
          <w:p>
            <w:pPr>
              <w:spacing w:after="0"/>
              <w:rPr>
                <w:sz w:val="17"/>
                <w:szCs w:val="17"/>
                <w:color w:val="auto"/>
              </w:rPr>
            </w:pPr>
          </w:p>
        </w:tc>
        <w:tc>
          <w:tcPr>
            <w:tcW w:w="1040" w:type="dxa"/>
            <w:vAlign w:val="bottom"/>
            <w:gridSpan w:val="3"/>
          </w:tcPr>
          <w:p>
            <w:pPr>
              <w:jc w:val="center"/>
              <w:ind w:right="100"/>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5"/>
          </w:tcPr>
          <w:p>
            <w:pPr>
              <w:jc w:val="center"/>
              <w:ind w:right="100"/>
              <w:spacing w:after="0" w:line="201" w:lineRule="exact"/>
              <w:rPr>
                <w:sz w:val="20"/>
                <w:szCs w:val="20"/>
                <w:color w:val="auto"/>
              </w:rPr>
            </w:pPr>
            <w:r>
              <w:rPr>
                <w:rFonts w:ascii="Arial" w:cs="Arial" w:eastAsia="Arial" w:hAnsi="Arial"/>
                <w:sz w:val="18"/>
                <w:szCs w:val="18"/>
                <w:b w:val="1"/>
                <w:bCs w:val="1"/>
                <w:i w:val="1"/>
                <w:iCs w:val="1"/>
                <w:color w:val="auto"/>
                <w:w w:val="89"/>
              </w:rPr>
              <w:t>Operating</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center"/>
              <w:ind w:right="100"/>
              <w:spacing w:after="0" w:line="201" w:lineRule="exact"/>
              <w:rPr>
                <w:sz w:val="20"/>
                <w:szCs w:val="20"/>
                <w:color w:val="auto"/>
              </w:rPr>
            </w:pPr>
            <w:r>
              <w:rPr>
                <w:rFonts w:ascii="Arial" w:cs="Arial" w:eastAsia="Arial" w:hAnsi="Arial"/>
                <w:sz w:val="18"/>
                <w:szCs w:val="18"/>
                <w:b w:val="1"/>
                <w:bCs w:val="1"/>
                <w:i w:val="1"/>
                <w:iCs w:val="1"/>
                <w:color w:val="auto"/>
                <w:w w:val="86"/>
              </w:rPr>
              <w:t>Operating</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b w:val="1"/>
                <w:bCs w:val="1"/>
                <w:i w:val="1"/>
                <w:iCs w:val="1"/>
                <w:color w:val="auto"/>
                <w:w w:val="88"/>
              </w:rPr>
              <w:t>Income</w:t>
            </w:r>
          </w:p>
        </w:tc>
        <w:tc>
          <w:tcPr>
            <w:tcW w:w="1160" w:type="dxa"/>
            <w:vAlign w:val="bottom"/>
            <w:gridSpan w:val="6"/>
          </w:tcPr>
          <w:p>
            <w:pPr>
              <w:jc w:val="center"/>
              <w:ind w:right="150"/>
              <w:spacing w:after="0"/>
              <w:rPr>
                <w:sz w:val="20"/>
                <w:szCs w:val="20"/>
                <w:color w:val="auto"/>
              </w:rPr>
            </w:pPr>
            <w:r>
              <w:rPr>
                <w:rFonts w:ascii="Arial" w:cs="Arial" w:eastAsia="Arial" w:hAnsi="Arial"/>
                <w:sz w:val="18"/>
                <w:szCs w:val="18"/>
                <w:b w:val="1"/>
                <w:bCs w:val="1"/>
                <w:i w:val="1"/>
                <w:iCs w:val="1"/>
                <w:color w:val="auto"/>
                <w:w w:val="89"/>
              </w:rPr>
              <w:t>Operating</w:t>
            </w:r>
          </w:p>
        </w:tc>
        <w:tc>
          <w:tcPr>
            <w:tcW w:w="880" w:type="dxa"/>
            <w:vAlign w:val="bottom"/>
            <w:gridSpan w:val="4"/>
          </w:tcPr>
          <w:p>
            <w:pPr>
              <w:jc w:val="center"/>
              <w:ind w:right="240"/>
              <w:spacing w:after="0"/>
              <w:rPr>
                <w:sz w:val="20"/>
                <w:szCs w:val="20"/>
                <w:color w:val="auto"/>
              </w:rPr>
            </w:pPr>
            <w:r>
              <w:rPr>
                <w:rFonts w:ascii="Arial" w:cs="Arial" w:eastAsia="Arial" w:hAnsi="Arial"/>
                <w:sz w:val="18"/>
                <w:szCs w:val="18"/>
                <w:b w:val="1"/>
                <w:bCs w:val="1"/>
                <w:i w:val="1"/>
                <w:iCs w:val="1"/>
                <w:color w:val="auto"/>
                <w:w w:val="88"/>
              </w:rPr>
              <w:t>Income</w:t>
            </w:r>
          </w:p>
        </w:tc>
        <w:tc>
          <w:tcPr>
            <w:tcW w:w="880" w:type="dxa"/>
            <w:vAlign w:val="bottom"/>
          </w:tcPr>
          <w:p>
            <w:pPr>
              <w:ind w:left="100"/>
              <w:spacing w:after="0"/>
              <w:rPr>
                <w:sz w:val="20"/>
                <w:szCs w:val="20"/>
                <w:color w:val="auto"/>
              </w:rPr>
            </w:pPr>
            <w:r>
              <w:rPr>
                <w:rFonts w:ascii="Arial" w:cs="Arial" w:eastAsia="Arial" w:hAnsi="Arial"/>
                <w:sz w:val="18"/>
                <w:szCs w:val="18"/>
                <w:b w:val="1"/>
                <w:bCs w:val="1"/>
                <w:i w:val="1"/>
                <w:iCs w:val="1"/>
                <w:color w:val="auto"/>
                <w:w w:val="89"/>
              </w:rPr>
              <w:t>Operating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Income</w:t>
            </w:r>
          </w:p>
        </w:tc>
        <w:tc>
          <w:tcPr>
            <w:tcW w:w="100" w:type="dxa"/>
            <w:vAlign w:val="bottom"/>
          </w:tcPr>
          <w:p>
            <w:pPr>
              <w:spacing w:after="0"/>
              <w:rPr>
                <w:sz w:val="18"/>
                <w:szCs w:val="18"/>
                <w:color w:val="auto"/>
              </w:rPr>
            </w:pPr>
          </w:p>
        </w:tc>
        <w:tc>
          <w:tcPr>
            <w:tcW w:w="1140" w:type="dxa"/>
            <w:vAlign w:val="bottom"/>
            <w:gridSpan w:val="6"/>
          </w:tcPr>
          <w:p>
            <w:pPr>
              <w:jc w:val="center"/>
              <w:ind w:right="110"/>
              <w:spacing w:after="0"/>
              <w:rPr>
                <w:sz w:val="20"/>
                <w:szCs w:val="20"/>
                <w:color w:val="auto"/>
              </w:rPr>
            </w:pPr>
            <w:r>
              <w:rPr>
                <w:rFonts w:ascii="Arial" w:cs="Arial" w:eastAsia="Arial" w:hAnsi="Arial"/>
                <w:sz w:val="18"/>
                <w:szCs w:val="18"/>
                <w:b w:val="1"/>
                <w:bCs w:val="1"/>
                <w:i w:val="1"/>
                <w:iCs w:val="1"/>
                <w:color w:val="auto"/>
                <w:w w:val="86"/>
              </w:rPr>
              <w:t>Operating</w:t>
            </w:r>
          </w:p>
        </w:tc>
        <w:tc>
          <w:tcPr>
            <w:tcW w:w="840" w:type="dxa"/>
            <w:vAlign w:val="bottom"/>
            <w:gridSpan w:val="3"/>
          </w:tcPr>
          <w:p>
            <w:pPr>
              <w:jc w:val="center"/>
              <w:ind w:right="120"/>
              <w:spacing w:after="0"/>
              <w:rPr>
                <w:sz w:val="20"/>
                <w:szCs w:val="20"/>
                <w:color w:val="auto"/>
              </w:rPr>
            </w:pPr>
            <w:r>
              <w:rPr>
                <w:rFonts w:ascii="Arial" w:cs="Arial" w:eastAsia="Arial" w:hAnsi="Arial"/>
                <w:sz w:val="18"/>
                <w:szCs w:val="18"/>
                <w:b w:val="1"/>
                <w:bCs w:val="1"/>
                <w:i w:val="1"/>
                <w:iCs w:val="1"/>
                <w:color w:val="auto"/>
                <w:w w:val="88"/>
              </w:rPr>
              <w:t>Income</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Operating</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r>
              <w:rPr>
                <w:rFonts w:ascii="Arial" w:cs="Arial" w:eastAsia="Arial" w:hAnsi="Arial"/>
                <w:sz w:val="18"/>
                <w:szCs w:val="18"/>
                <w:b w:val="1"/>
                <w:bCs w:val="1"/>
                <w:i w:val="1"/>
                <w:iCs w:val="1"/>
                <w:color w:val="auto"/>
              </w:rPr>
              <w:t>Segment Operating Income (Loss)</w:t>
            </w:r>
          </w:p>
        </w:tc>
        <w:tc>
          <w:tcPr>
            <w:tcW w:w="100" w:type="dxa"/>
            <w:vAlign w:val="bottom"/>
          </w:tcPr>
          <w:p>
            <w:pPr>
              <w:spacing w:after="0"/>
              <w:rPr>
                <w:sz w:val="20"/>
                <w:szCs w:val="20"/>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8"/>
                <w:szCs w:val="18"/>
                <w:b w:val="1"/>
                <w:bCs w:val="1"/>
                <w:i w:val="1"/>
                <w:iCs w:val="1"/>
                <w:color w:val="auto"/>
                <w:w w:val="85"/>
              </w:rPr>
              <w:t>(Loss)</w:t>
            </w:r>
          </w:p>
        </w:tc>
        <w:tc>
          <w:tcPr>
            <w:tcW w:w="140" w:type="dxa"/>
            <w:vAlign w:val="bottom"/>
          </w:tcPr>
          <w:p>
            <w:pPr>
              <w:spacing w:after="0"/>
              <w:rPr>
                <w:sz w:val="20"/>
                <w:szCs w:val="20"/>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b w:val="1"/>
                <w:bCs w:val="1"/>
                <w:i w:val="1"/>
                <w:iCs w:val="1"/>
                <w:color w:val="auto"/>
                <w:w w:val="94"/>
              </w:rPr>
              <w:t>Margin</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4"/>
          </w:tcPr>
          <w:p>
            <w:pPr>
              <w:jc w:val="center"/>
              <w:ind w:right="220"/>
              <w:spacing w:after="0"/>
              <w:rPr>
                <w:sz w:val="20"/>
                <w:szCs w:val="20"/>
                <w:color w:val="auto"/>
              </w:rPr>
            </w:pPr>
            <w:r>
              <w:rPr>
                <w:rFonts w:ascii="Arial" w:cs="Arial" w:eastAsia="Arial" w:hAnsi="Arial"/>
                <w:sz w:val="18"/>
                <w:szCs w:val="18"/>
                <w:b w:val="1"/>
                <w:bCs w:val="1"/>
                <w:i w:val="1"/>
                <w:iCs w:val="1"/>
                <w:color w:val="auto"/>
                <w:w w:val="85"/>
              </w:rPr>
              <w:t>(Loss)</w:t>
            </w:r>
          </w:p>
        </w:tc>
        <w:tc>
          <w:tcPr>
            <w:tcW w:w="8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Margin</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i w:val="1"/>
                <w:iCs w:val="1"/>
                <w:color w:val="auto"/>
                <w:w w:val="85"/>
              </w:rPr>
              <w:t>(Loss)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8"/>
                <w:szCs w:val="18"/>
                <w:b w:val="1"/>
                <w:bCs w:val="1"/>
                <w:i w:val="1"/>
                <w:iCs w:val="1"/>
                <w:color w:val="auto"/>
                <w:w w:val="94"/>
              </w:rPr>
              <w:t>Margin</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8"/>
                <w:szCs w:val="18"/>
                <w:b w:val="1"/>
                <w:bCs w:val="1"/>
                <w:i w:val="1"/>
                <w:iCs w:val="1"/>
                <w:color w:val="auto"/>
                <w:w w:val="85"/>
              </w:rPr>
              <w:t>(Loss)</w:t>
            </w:r>
          </w:p>
        </w:tc>
        <w:tc>
          <w:tcPr>
            <w:tcW w:w="10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94"/>
              </w:rPr>
              <w:t>Margin</w:t>
            </w:r>
          </w:p>
        </w:tc>
        <w:tc>
          <w:tcPr>
            <w:tcW w:w="0" w:type="dxa"/>
            <w:vAlign w:val="bottom"/>
          </w:tcPr>
          <w:p>
            <w:pPr>
              <w:spacing w:after="0"/>
              <w:rPr>
                <w:sz w:val="1"/>
                <w:szCs w:val="1"/>
                <w:color w:val="auto"/>
              </w:rPr>
            </w:pPr>
          </w:p>
        </w:tc>
      </w:tr>
      <w:tr>
        <w:trPr>
          <w:trHeight w:val="216"/>
        </w:trPr>
        <w:tc>
          <w:tcPr>
            <w:tcW w:w="3240" w:type="dxa"/>
            <w:vAlign w:val="bottom"/>
          </w:tcPr>
          <w:p>
            <w:pPr>
              <w:ind w:left="1040"/>
              <w:spacing w:after="0"/>
              <w:rPr>
                <w:sz w:val="20"/>
                <w:szCs w:val="20"/>
                <w:color w:val="auto"/>
              </w:rPr>
            </w:pPr>
            <w:r>
              <w:rPr>
                <w:rFonts w:ascii="Arial" w:cs="Arial" w:eastAsia="Arial" w:hAnsi="Arial"/>
                <w:sz w:val="18"/>
                <w:szCs w:val="18"/>
                <w:b w:val="1"/>
                <w:bCs w:val="1"/>
                <w:i w:val="1"/>
                <w:iCs w:val="1"/>
                <w:color w:val="auto"/>
              </w:rPr>
              <w:t>and Operating Margin</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(millions)</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(millions)</w:t>
            </w:r>
          </w:p>
        </w:tc>
        <w:tc>
          <w:tcPr>
            <w:tcW w:w="1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(millions)</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b w:val="1"/>
                <w:bCs w:val="1"/>
                <w:color w:val="auto"/>
                <w:w w:val="92"/>
              </w:rPr>
              <w:t>(millions)</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Itron North America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20" w:type="dxa"/>
            <w:vAlign w:val="bottom"/>
            <w:tcBorders>
              <w:left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(1%)</w:t>
            </w:r>
          </w:p>
        </w:tc>
        <w:tc>
          <w:tcPr>
            <w:tcW w:w="4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17.9</w:t>
            </w:r>
          </w:p>
        </w:tc>
        <w:tc>
          <w:tcPr>
            <w:tcW w:w="88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88"/>
              </w:rPr>
              <w:t>10%</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left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0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16"/>
        </w:trPr>
        <w:tc>
          <w:tcPr>
            <w:tcW w:w="3240" w:type="dxa"/>
            <w:vAlign w:val="bottom"/>
          </w:tcPr>
          <w:p>
            <w:pPr>
              <w:ind w:left="460"/>
              <w:spacing w:after="0"/>
              <w:rPr>
                <w:sz w:val="20"/>
                <w:szCs w:val="20"/>
                <w:color w:val="auto"/>
              </w:rPr>
            </w:pPr>
            <w:r>
              <w:rPr>
                <w:rFonts w:ascii="Arial" w:cs="Arial" w:eastAsia="Arial" w:hAnsi="Arial"/>
                <w:sz w:val="18"/>
                <w:szCs w:val="18"/>
                <w:color w:val="auto"/>
              </w:rPr>
              <w:t>Itron International</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18.4</w:t>
            </w:r>
          </w:p>
        </w:tc>
        <w:tc>
          <w:tcPr>
            <w:tcW w:w="880" w:type="dxa"/>
            <w:vAlign w:val="bottom"/>
          </w:tcPr>
          <w:p>
            <w:pPr>
              <w:jc w:val="center"/>
              <w:ind w:left="70"/>
              <w:spacing w:after="0"/>
              <w:rPr>
                <w:sz w:val="20"/>
                <w:szCs w:val="20"/>
                <w:color w:val="auto"/>
              </w:rPr>
            </w:pPr>
            <w:r>
              <w:rPr>
                <w:rFonts w:ascii="Arial" w:cs="Arial" w:eastAsia="Arial" w:hAnsi="Arial"/>
                <w:sz w:val="18"/>
                <w:szCs w:val="18"/>
                <w:color w:val="auto"/>
                <w:w w:val="92"/>
              </w:rPr>
              <w:t>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63.1</w:t>
            </w:r>
          </w:p>
        </w:tc>
        <w:tc>
          <w:tcPr>
            <w:tcW w:w="10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16"/>
        </w:trPr>
        <w:tc>
          <w:tcPr>
            <w:tcW w:w="3240" w:type="dxa"/>
            <w:vAlign w:val="bottom"/>
            <w:tcBorders>
              <w:right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Corporate unallocated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88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20" w:type="dxa"/>
            <w:vAlign w:val="bottom"/>
            <w:tcBorders>
              <w:left w:val="single" w:sz="8" w:color="CCEEFF"/>
            </w:tcBorders>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40" w:type="dxa"/>
            <w:vAlign w:val="bottom"/>
          </w:tcPr>
          <w:p>
            <w:pPr>
              <w:ind w:left="1040"/>
              <w:spacing w:after="0"/>
              <w:rPr>
                <w:sz w:val="20"/>
                <w:szCs w:val="20"/>
                <w:color w:val="auto"/>
              </w:rPr>
            </w:pPr>
            <w:r>
              <w:rPr>
                <w:rFonts w:ascii="Arial" w:cs="Arial" w:eastAsia="Arial" w:hAnsi="Arial"/>
                <w:sz w:val="18"/>
                <w:szCs w:val="18"/>
                <w:color w:val="auto"/>
              </w:rPr>
              <w:t>Total Company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2%</w:t>
            </w:r>
          </w:p>
        </w:tc>
        <w:tc>
          <w:tcPr>
            <w:tcW w:w="260" w:type="dxa"/>
            <w:vAlign w:val="bottom"/>
            <w:gridSpan w:val="2"/>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100"/>
              <w:spacing w:after="0"/>
              <w:rPr>
                <w:sz w:val="20"/>
                <w:szCs w:val="20"/>
                <w:color w:val="auto"/>
              </w:rPr>
            </w:pPr>
            <w:r>
              <w:rPr>
                <w:rFonts w:ascii="Arial" w:cs="Arial" w:eastAsia="Arial" w:hAnsi="Arial"/>
                <w:sz w:val="18"/>
                <w:szCs w:val="18"/>
                <w:color w:val="auto"/>
              </w:rPr>
              <w:t>25.3</w:t>
            </w:r>
          </w:p>
        </w:tc>
        <w:tc>
          <w:tcPr>
            <w:tcW w:w="880" w:type="dxa"/>
            <w:vAlign w:val="bottom"/>
          </w:tcPr>
          <w:p>
            <w:pPr>
              <w:jc w:val="center"/>
              <w:ind w:left="70"/>
              <w:spacing w:after="0"/>
              <w:rPr>
                <w:sz w:val="20"/>
                <w:szCs w:val="20"/>
                <w:color w:val="auto"/>
              </w:rPr>
            </w:pPr>
            <w:r>
              <w:rPr>
                <w:rFonts w:ascii="Arial" w:cs="Arial" w:eastAsia="Arial" w:hAnsi="Arial"/>
                <w:sz w:val="18"/>
                <w:szCs w:val="18"/>
                <w:color w:val="auto"/>
                <w:w w:val="92"/>
              </w:rPr>
              <w:t>5%</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center"/>
              <w:spacing w:after="0"/>
              <w:rPr>
                <w:sz w:val="20"/>
                <w:szCs w:val="20"/>
                <w:color w:val="auto"/>
              </w:rPr>
            </w:pPr>
            <w:r>
              <w:rPr>
                <w:rFonts w:ascii="Arial" w:cs="Arial" w:eastAsia="Arial" w:hAnsi="Arial"/>
                <w:sz w:val="18"/>
                <w:szCs w:val="18"/>
                <w:color w:val="auto"/>
                <w:w w:val="92"/>
              </w:rPr>
              <w:t>2%</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88.8</w:t>
            </w:r>
          </w:p>
        </w:tc>
        <w:tc>
          <w:tcPr>
            <w:tcW w:w="106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Itron North America: </w:t>
      </w:r>
      <w:r>
        <w:rPr>
          <w:rFonts w:ascii="Arial" w:cs="Arial" w:eastAsia="Arial" w:hAnsi="Arial"/>
          <w:sz w:val="17"/>
          <w:szCs w:val="17"/>
          <w:color w:val="auto"/>
        </w:rPr>
        <w:t>Revenues decreased $38.8 million, or 22%, during the three months ended September 30, 2009, and $108.3 million, or 21%, during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2009, compared with the same periods in 2008. Revenues in 2008 included electricity meter and AMR module shipments in support of a number of AMR deployments. The lower 2009 revenues were primarily driven by the substantial completion of a number of AMR contracts in 2008 and fewer shipments of electricity meters and AMR modules. Utilities have delayed orders due to the current spending environment and the uncertainty surrounding the announcement and disbursement of stimulus funds.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decreased seven percentage points and three percentage points for the three and nine months ended September 30, 2009, compared with the same periods in 2008, primarily due to shipments of our first generation AMI meters, which currently have higher costs, fewer AMR meter and AMR gas module shipments, and reduced overhead absorption resulting from lower overall production levels. Itron North America gross margins are expected to remain at lower levels until we have higher volume shipments of a cost reduced AMI meter.</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customer represented more than 10% of Itron North America operating segment revenues in the three and nine months ended September 30, 2009 and the three months ended September 30, 2008. One customer accounted for 11% of Itron North America operating segment revenues for the nine months ended September 30, 2008, respectively.</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Itron North America operating expenses decreased $4.9 million, or 10%, for the three months ended September 30, 2009 and $12.2 million, or 8%, for the nine months ended September 30, 2009, compared with the same periods in 2009. Lower sales expenses and general and administrative expenses were the primary factors for the reduced expenses. Operating expenses as a percentage of revenues were 32% for the three and nine months ended September 30, 2009, compared with 28% for the same periods in 2008, as a result of lower revenues in 2009.</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Itron International: Revenues decreased $37.6 million, or 12%, and $158.3 million, or 17%, for the three and nine months ended September 30, 2009, compared with the same periods in 2008. Excluding the effect of a strengthening U.S. dollar against most foreign currencies as compared with the prior period, revenues declined 4% and 3% for the respective periods as a result of softening demand in some markets due to financial and economic conditions.</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increased one percentage point for the three months ended September 30, 2009, compared with the same period last year, primarily as a result of lower material costs, such as copper alloys and electronic components. Gross margin decreased one percentage point for the nine months ended September 30, 2009, compared with the same period last year, primarily due to a change in product mix, which included increased service costs in South America, partially offset by lower material costs.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00" w:type="dxa"/>
            <w:vAlign w:val="bottom"/>
            <w:gridSpan w:val="2"/>
          </w:tcPr>
          <w:p>
            <w:pPr>
              <w:spacing w:after="0"/>
              <w:rPr>
                <w:sz w:val="20"/>
                <w:szCs w:val="20"/>
                <w:color w:val="auto"/>
              </w:rPr>
            </w:pPr>
            <w:r>
              <w:rPr>
                <w:rFonts w:ascii="Arial" w:cs="Arial" w:eastAsia="Arial" w:hAnsi="Arial"/>
                <w:sz w:val="18"/>
                <w:szCs w:val="18"/>
                <w:color w:val="auto"/>
                <w:w w:val="99"/>
              </w:rPr>
              <w:t>Business line revenues for Itron International were as follows: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1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6"/>
              </w:rPr>
              <w:t>Three Months Ended September 30,</w:t>
            </w:r>
          </w:p>
        </w:tc>
        <w:tc>
          <w:tcPr>
            <w:tcW w:w="120" w:type="dxa"/>
            <w:vAlign w:val="bottom"/>
          </w:tcPr>
          <w:p>
            <w:pPr>
              <w:spacing w:after="0"/>
              <w:rPr>
                <w:sz w:val="24"/>
                <w:szCs w:val="24"/>
                <w:color w:val="auto"/>
              </w:rPr>
            </w:pPr>
          </w:p>
        </w:tc>
        <w:tc>
          <w:tcPr>
            <w:tcW w:w="32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8"/>
                <w:szCs w:val="18"/>
                <w:b w:val="1"/>
                <w:bCs w:val="1"/>
                <w:color w:val="auto"/>
                <w:w w:val="98"/>
              </w:rPr>
              <w:t>Nine Months Ended September 30,</w:t>
            </w: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2008</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Electricity</w:t>
            </w:r>
          </w:p>
        </w:tc>
        <w:tc>
          <w:tcPr>
            <w:tcW w:w="15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42%</w:t>
            </w:r>
          </w:p>
        </w:tc>
        <w:tc>
          <w:tcPr>
            <w:tcW w:w="16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40%</w:t>
            </w:r>
          </w:p>
        </w:tc>
        <w:tc>
          <w:tcPr>
            <w:tcW w:w="16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39%</w:t>
            </w:r>
          </w:p>
        </w:tc>
        <w:tc>
          <w:tcPr>
            <w:tcW w:w="16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Gas</w:t>
            </w:r>
          </w:p>
        </w:tc>
        <w:tc>
          <w:tcPr>
            <w:tcW w:w="1540" w:type="dxa"/>
            <w:vAlign w:val="bottom"/>
          </w:tcPr>
          <w:p>
            <w:pPr>
              <w:jc w:val="right"/>
              <w:ind w:right="470"/>
              <w:spacing w:after="0"/>
              <w:rPr>
                <w:sz w:val="20"/>
                <w:szCs w:val="20"/>
                <w:color w:val="auto"/>
              </w:rPr>
            </w:pPr>
            <w:r>
              <w:rPr>
                <w:rFonts w:ascii="Arial" w:cs="Arial" w:eastAsia="Arial" w:hAnsi="Arial"/>
                <w:sz w:val="18"/>
                <w:szCs w:val="18"/>
                <w:color w:val="auto"/>
              </w:rPr>
              <w:t>30%</w:t>
            </w:r>
          </w:p>
        </w:tc>
        <w:tc>
          <w:tcPr>
            <w:tcW w:w="1640" w:type="dxa"/>
            <w:vAlign w:val="bottom"/>
            <w:gridSpan w:val="2"/>
          </w:tcPr>
          <w:p>
            <w:pPr>
              <w:jc w:val="right"/>
              <w:ind w:right="450"/>
              <w:spacing w:after="0"/>
              <w:rPr>
                <w:sz w:val="20"/>
                <w:szCs w:val="20"/>
                <w:color w:val="auto"/>
              </w:rPr>
            </w:pPr>
            <w:r>
              <w:rPr>
                <w:rFonts w:ascii="Arial" w:cs="Arial" w:eastAsia="Arial" w:hAnsi="Arial"/>
                <w:sz w:val="18"/>
                <w:szCs w:val="18"/>
                <w:color w:val="auto"/>
              </w:rPr>
              <w:t>32%</w:t>
            </w:r>
          </w:p>
        </w:tc>
        <w:tc>
          <w:tcPr>
            <w:tcW w:w="1660" w:type="dxa"/>
            <w:vAlign w:val="bottom"/>
            <w:gridSpan w:val="2"/>
          </w:tcPr>
          <w:p>
            <w:pPr>
              <w:jc w:val="right"/>
              <w:ind w:right="470"/>
              <w:spacing w:after="0"/>
              <w:rPr>
                <w:sz w:val="20"/>
                <w:szCs w:val="20"/>
                <w:color w:val="auto"/>
              </w:rPr>
            </w:pPr>
            <w:r>
              <w:rPr>
                <w:rFonts w:ascii="Arial" w:cs="Arial" w:eastAsia="Arial" w:hAnsi="Arial"/>
                <w:sz w:val="18"/>
                <w:szCs w:val="18"/>
                <w:color w:val="auto"/>
              </w:rPr>
              <w:t>30%</w:t>
            </w:r>
          </w:p>
        </w:tc>
        <w:tc>
          <w:tcPr>
            <w:tcW w:w="1680" w:type="dxa"/>
            <w:vAlign w:val="bottom"/>
            <w:gridSpan w:val="2"/>
          </w:tcPr>
          <w:p>
            <w:pPr>
              <w:jc w:val="right"/>
              <w:ind w:right="47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Water</w:t>
            </w:r>
          </w:p>
        </w:tc>
        <w:tc>
          <w:tcPr>
            <w:tcW w:w="15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28%</w:t>
            </w:r>
          </w:p>
        </w:tc>
        <w:tc>
          <w:tcPr>
            <w:tcW w:w="16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28%</w:t>
            </w:r>
          </w:p>
        </w:tc>
        <w:tc>
          <w:tcPr>
            <w:tcW w:w="166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31%</w:t>
            </w:r>
          </w:p>
        </w:tc>
        <w:tc>
          <w:tcPr>
            <w:tcW w:w="16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30%</w:t>
            </w: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 single customer represented more than 10% of Itron International operating segment revenues in the three and nine months ended September 30, 2009 and 2008.</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Operating expenses for Itron International were $69.7 million and $78.0 million for the three months ended September 30, 2009 and 2008, or 26% and 25% of revenues for the respective periods. Operating expenses for the nine months ended September 30, 2009 and 2008 were $207.4 million and $237.8 million, or 26% and 25% of revenues for the respective periods. For the three months ended September 30, 2009, amortization of intangible assets decreased by $4.3 million, while the remaining decrease was the result of a stronger U.S. dollar as compared with the prior year. For the nine months ended September 30, 2009, a stronger U.S. dollar compared with the prior year and a $17.5 million decline in intangible asset amortization resulted in a decrease in operating expense of $40.6 million. The decrease was partially offset by slightly higher product development and other operating expenses.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Corporate unallocated: </w:t>
      </w:r>
      <w:r>
        <w:rPr>
          <w:rFonts w:ascii="Arial" w:cs="Arial" w:eastAsia="Arial" w:hAnsi="Arial"/>
          <w:sz w:val="18"/>
          <w:szCs w:val="18"/>
          <w:color w:val="auto"/>
        </w:rPr>
        <w:t>Operating expenses not directly associated with an operating segment are classified as “Corporate unallocated.” These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$3.9 million and $7.8 million in the three and nine months ended September 30, 2009, compared with the same periods last year, due to reductions in compensation expense and reduced consulting fees, primarily for Sarbanes-Oxley Act of 2002 compliance.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Bookings and Backlog of Orders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Bookings for a reported period represent customer contracts and purchase orders received during the period that have met certain conditions, such as regulatory approval. Total backlog represents committed but undelivered contracts and purchase orders at period end. Twelve-month backlog represents the portion of total backlog that we estimate will be recognized as revenue over the next 12 months. Backlog is not a complete measure of our future business as we have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Information on bookings and backlog is summarized as follows: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1"/>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Ending</w:t>
            </w: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Quarterly</w:t>
            </w:r>
          </w:p>
        </w:tc>
        <w:tc>
          <w:tcPr>
            <w:tcW w:w="20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12-Month</w:t>
            </w:r>
          </w:p>
        </w:tc>
      </w:tr>
      <w:tr>
        <w:trPr>
          <w:trHeight w:val="241"/>
        </w:trPr>
        <w:tc>
          <w:tcPr>
            <w:tcW w:w="7320" w:type="dxa"/>
            <w:vAlign w:val="bottom"/>
          </w:tcPr>
          <w:p>
            <w:pPr>
              <w:spacing w:after="0"/>
              <w:rPr>
                <w:sz w:val="20"/>
                <w:szCs w:val="20"/>
                <w:color w:val="auto"/>
              </w:rPr>
            </w:pPr>
            <w:r>
              <w:rPr>
                <w:rFonts w:ascii="Arial" w:cs="Arial" w:eastAsia="Arial" w:hAnsi="Arial"/>
                <w:sz w:val="18"/>
                <w:szCs w:val="18"/>
                <w:b w:val="1"/>
                <w:bCs w:val="1"/>
                <w:color w:val="auto"/>
              </w:rPr>
              <w:t>Quarter Ended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Bookings</w:t>
            </w: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Total Backlog</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Backlog</w:t>
            </w:r>
          </w:p>
        </w:tc>
      </w:tr>
      <w:tr>
        <w:trPr>
          <w:trHeight w:val="216"/>
        </w:trPr>
        <w:tc>
          <w:tcPr>
            <w:tcW w:w="7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June 30, 2009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427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March 31, 2009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December 31, 2008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418</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r>
    </w:tbl>
    <w:p>
      <w:pPr>
        <w:spacing w:after="0" w:line="22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we enter into AMI agreements to deploy our OpenWay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meter and communications system, we include these contracts in bookings and backlog when regulatory approvals are received or certain other conditions are met. At September 30, 2009, three of our four signed AMI contracts were included in bookings and backlog. Bookings for the first quarter of 2009 included $257 million related to the San Diego Gas &amp; Electric AMI contract. During the fourth quarter of 2008, $334 million was booked related to the CenterPoint Energy AMI contract and during the third quarter of 2008, $470 million was booked related to the Southern California Edison AMI contract. A majority of the value of these AMI contracts are not included in 12-month backlog as these are multi-year contracts.</w:t>
      </w:r>
    </w:p>
    <w:p>
      <w:pPr>
        <w:sectPr>
          <w:pgSz w:w="11900" w:h="16838" w:orient="portrait"/>
          <w:cols w:equalWidth="0" w:num="1">
            <w:col w:w="11420"/>
          </w:cols>
          <w:pgMar w:left="240" w:top="122" w:right="239" w:bottom="1440" w:gutter="0" w:footer="0" w:header="0"/>
        </w:sectPr>
      </w:pP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8"/>
          </w:tcPr>
          <w:p>
            <w:pPr>
              <w:ind w:left="54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8"/>
          </w:tcPr>
          <w:p>
            <w:pPr>
              <w:ind w:left="440"/>
              <w:spacing w:after="0"/>
              <w:rPr>
                <w:sz w:val="20"/>
                <w:szCs w:val="20"/>
                <w:color w:val="auto"/>
              </w:rPr>
            </w:pPr>
            <w:r>
              <w:rPr>
                <w:rFonts w:ascii="Arial" w:cs="Arial" w:eastAsia="Arial" w:hAnsi="Arial"/>
                <w:sz w:val="18"/>
                <w:szCs w:val="18"/>
                <w:b w:val="1"/>
                <w:bCs w:val="1"/>
                <w:color w:val="auto"/>
              </w:rPr>
              <w:t>Nine Months Ended September 30,</w:t>
            </w:r>
          </w:p>
        </w:tc>
      </w:tr>
      <w:tr>
        <w:trPr>
          <w:trHeight w:val="198"/>
        </w:trPr>
        <w:tc>
          <w:tcPr>
            <w:tcW w:w="3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r>
      <w:tr>
        <w:trPr>
          <w:trHeight w:val="241"/>
        </w:trPr>
        <w:tc>
          <w:tcPr>
            <w:tcW w:w="3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r>
      <w:tr>
        <w:trPr>
          <w:trHeight w:val="216"/>
        </w:trPr>
        <w:tc>
          <w:tcPr>
            <w:tcW w:w="3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(millions)</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(millions)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(millions)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(millions)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4"/>
              </w:rPr>
              <w:t>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w:t>
            </w:r>
          </w:p>
        </w:tc>
        <w:tc>
          <w:tcPr>
            <w:tcW w:w="9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127.5</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9%</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Product development</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2"/>
              </w:rPr>
              <w:t>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84"/>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93.0</w:t>
            </w:r>
          </w:p>
        </w:tc>
        <w:tc>
          <w:tcPr>
            <w:tcW w:w="920" w:type="dxa"/>
            <w:vAlign w:val="bottom"/>
          </w:tcPr>
          <w:p>
            <w:pPr>
              <w:jc w:val="center"/>
              <w:ind w:left="30"/>
              <w:spacing w:after="0"/>
              <w:rPr>
                <w:sz w:val="20"/>
                <w:szCs w:val="20"/>
                <w:color w:val="auto"/>
              </w:rPr>
            </w:pPr>
            <w:r>
              <w:rPr>
                <w:rFonts w:ascii="Arial" w:cs="Arial" w:eastAsia="Arial" w:hAnsi="Arial"/>
                <w:sz w:val="18"/>
                <w:szCs w:val="18"/>
                <w:color w:val="auto"/>
                <w:w w:val="92"/>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92.3</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92"/>
              </w:rPr>
              <w:t>6%</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9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4"/>
              </w:rPr>
              <w:t>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c>
          <w:tcPr>
            <w:tcW w:w="9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2"/>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2"/>
              </w:rPr>
              <w:t>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25.1</w:t>
            </w:r>
          </w:p>
        </w:tc>
        <w:tc>
          <w:tcPr>
            <w:tcW w:w="940" w:type="dxa"/>
            <w:vAlign w:val="bottom"/>
          </w:tcPr>
          <w:p>
            <w:pPr>
              <w:jc w:val="center"/>
              <w:ind w:left="50"/>
              <w:spacing w:after="0"/>
              <w:rPr>
                <w:sz w:val="20"/>
                <w:szCs w:val="20"/>
                <w:color w:val="auto"/>
              </w:rPr>
            </w:pPr>
            <w:r>
              <w:rPr>
                <w:rFonts w:ascii="Arial" w:cs="Arial" w:eastAsia="Arial" w:hAnsi="Arial"/>
                <w:sz w:val="18"/>
                <w:szCs w:val="18"/>
                <w:color w:val="auto"/>
                <w:w w:val="92"/>
              </w:rPr>
              <w:t>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900" w:type="dxa"/>
            <w:vAlign w:val="bottom"/>
          </w:tcPr>
          <w:p>
            <w:pPr>
              <w:jc w:val="center"/>
              <w:ind w:left="30"/>
              <w:spacing w:after="0"/>
              <w:rPr>
                <w:sz w:val="20"/>
                <w:szCs w:val="20"/>
                <w:color w:val="auto"/>
              </w:rPr>
            </w:pPr>
            <w:r>
              <w:rPr>
                <w:rFonts w:ascii="Arial" w:cs="Arial" w:eastAsia="Arial" w:hAnsi="Arial"/>
                <w:sz w:val="18"/>
                <w:szCs w:val="18"/>
                <w:color w:val="auto"/>
                <w:w w:val="84"/>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72.8</w:t>
            </w:r>
          </w:p>
        </w:tc>
        <w:tc>
          <w:tcPr>
            <w:tcW w:w="920" w:type="dxa"/>
            <w:vAlign w:val="bottom"/>
          </w:tcPr>
          <w:p>
            <w:pPr>
              <w:jc w:val="center"/>
              <w:ind w:left="30"/>
              <w:spacing w:after="0"/>
              <w:rPr>
                <w:sz w:val="20"/>
                <w:szCs w:val="20"/>
                <w:color w:val="auto"/>
              </w:rPr>
            </w:pPr>
            <w:r>
              <w:rPr>
                <w:rFonts w:ascii="Arial" w:cs="Arial" w:eastAsia="Arial" w:hAnsi="Arial"/>
                <w:sz w:val="18"/>
                <w:szCs w:val="18"/>
                <w:color w:val="auto"/>
                <w:w w:val="92"/>
              </w:rPr>
              <w:t>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93.1</w:t>
            </w:r>
          </w:p>
        </w:tc>
        <w:tc>
          <w:tcPr>
            <w:tcW w:w="900" w:type="dxa"/>
            <w:vAlign w:val="bottom"/>
          </w:tcPr>
          <w:p>
            <w:pPr>
              <w:jc w:val="center"/>
              <w:ind w:left="10"/>
              <w:spacing w:after="0"/>
              <w:rPr>
                <w:sz w:val="20"/>
                <w:szCs w:val="20"/>
                <w:color w:val="auto"/>
              </w:rPr>
            </w:pPr>
            <w:r>
              <w:rPr>
                <w:rFonts w:ascii="Arial" w:cs="Arial" w:eastAsia="Arial" w:hAnsi="Arial"/>
                <w:sz w:val="18"/>
                <w:szCs w:val="18"/>
                <w:color w:val="auto"/>
                <w:w w:val="92"/>
              </w:rPr>
              <w:t>6%</w:t>
            </w:r>
          </w:p>
        </w:tc>
      </w:tr>
      <w:tr>
        <w:trPr>
          <w:trHeight w:val="27"/>
        </w:trPr>
        <w:tc>
          <w:tcPr>
            <w:tcW w:w="3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r>
      <w:tr>
        <w:trPr>
          <w:trHeight w:val="237"/>
        </w:trPr>
        <w:tc>
          <w:tcPr>
            <w:tcW w:w="3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w:t>
            </w:r>
          </w:p>
        </w:tc>
        <w:tc>
          <w:tcPr>
            <w:tcW w:w="9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w:t>
            </w:r>
          </w:p>
        </w:tc>
        <w:tc>
          <w:tcPr>
            <w:tcW w:w="90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4"/>
              </w:rPr>
              <w:t>28%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w:t>
            </w:r>
          </w:p>
        </w:tc>
        <w:tc>
          <w:tcPr>
            <w:tcW w:w="92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8"/>
              </w:rPr>
              <w:t>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412.9</w:t>
            </w:r>
          </w:p>
        </w:tc>
        <w:tc>
          <w:tcPr>
            <w:tcW w:w="9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28%</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decreased 12% for the three and nine months ended September 30, 2009, compared with the same periods in 2008. The $17.1 million decrease in operating expenses for the three months ended September 30, 2009 was due to lower amortization of intangible assets of $5.3 million and approximately $4.3 million related to foreign exchange rate fluctuations, with the remaining decrease due to cost containment measures. For the nine months ended September 30, 2009, operating expenses decreased by $50.4 million as a result of lower amortization of intangible assets of $20.3 million and foreign exchange rate fluctuations of $23.7 million, with the remaining decrease due to cost containment measures. To partially mitigate the reduced revenues, we have implemented, and continue to perform a variety of measures to reduce operating expenses, including, but not limited to, constraining compensation increases and selective headcount reductions.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20" w:type="dxa"/>
            <w:vAlign w:val="bottom"/>
          </w:tcPr>
          <w:p>
            <w:pPr>
              <w:spacing w:after="0"/>
              <w:rPr>
                <w:sz w:val="20"/>
                <w:szCs w:val="20"/>
                <w:color w:val="auto"/>
              </w:rPr>
            </w:pPr>
          </w:p>
        </w:tc>
        <w:tc>
          <w:tcPr>
            <w:tcW w:w="336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7"/>
              </w:rPr>
              <w:t>Three Months Ended September 30,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0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23"/>
        </w:trPr>
        <w:tc>
          <w:tcPr>
            <w:tcW w:w="47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5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216"/>
        </w:trPr>
        <w:tc>
          <w:tcPr>
            <w:tcW w:w="4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6"/>
          </w:tcPr>
          <w:p>
            <w:pPr>
              <w:jc w:val="right"/>
              <w:ind w:right="120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20" w:type="dxa"/>
            <w:vAlign w:val="bottom"/>
            <w:shd w:val="clear" w:color="auto" w:fill="CCEEFF"/>
          </w:tcPr>
          <w:p>
            <w:pPr>
              <w:jc w:val="right"/>
              <w:ind w:right="75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971</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4,846</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Interest expense</w:t>
            </w:r>
          </w:p>
        </w:tc>
        <w:tc>
          <w:tcPr>
            <w:tcW w:w="9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(15,963)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(19,257)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(46,935)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(67,695)</w:t>
            </w:r>
          </w:p>
        </w:tc>
      </w:tr>
      <w:tr>
        <w:trPr>
          <w:trHeight w:val="216"/>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prepaid debt fees</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(7,667)</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Loss on extinguishment of debt, net</w:t>
            </w:r>
          </w:p>
        </w:tc>
        <w:tc>
          <w:tcPr>
            <w:tcW w:w="9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(2,460)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(12,800)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(1,938)</w:t>
            </w:r>
          </w:p>
        </w:tc>
      </w:tr>
      <w:tr>
        <w:trPr>
          <w:trHeight w:val="27"/>
        </w:trPr>
        <w:tc>
          <w:tcPr>
            <w:tcW w:w="4720" w:type="dxa"/>
            <w:vAlign w:val="bottom"/>
            <w:tcBorders>
              <w:right w:val="single" w:sz="8" w:color="CCEEFF"/>
            </w:tcBorders>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720" w:type="dxa"/>
            <w:vAlign w:val="bottom"/>
          </w:tcPr>
          <w:p>
            <w:pPr>
              <w:ind w:left="580"/>
              <w:spacing w:after="0"/>
              <w:rPr>
                <w:sz w:val="20"/>
                <w:szCs w:val="20"/>
                <w:color w:val="auto"/>
              </w:rPr>
            </w:pPr>
            <w:r>
              <w:rPr>
                <w:rFonts w:ascii="Arial" w:cs="Arial" w:eastAsia="Arial" w:hAnsi="Arial"/>
                <w:sz w:val="18"/>
                <w:szCs w:val="18"/>
                <w:color w:val="auto"/>
              </w:rPr>
              <w:t>Total other income (expense)</w:t>
            </w:r>
          </w:p>
        </w:tc>
        <w:tc>
          <w:tcPr>
            <w:tcW w:w="920" w:type="dxa"/>
            <w:vAlign w:val="bottom"/>
          </w:tcPr>
          <w:p>
            <w:pPr>
              <w:jc w:val="right"/>
              <w:ind w:right="757"/>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(27,114)</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(19,356)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(74,593)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(72,454)</w:t>
            </w:r>
          </w:p>
        </w:tc>
      </w:tr>
      <w:tr>
        <w:trPr>
          <w:trHeight w:val="21"/>
        </w:trPr>
        <w:tc>
          <w:tcPr>
            <w:tcW w:w="47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decreased in the three and nine months ended September 30, 2009, compared with the same periods in 2008,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interest rates in 2009. Average cash and cash equivalent balances have not significantly fluctuated.</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decreased 17% and 31% in the three and nine months ended September 30, 2009, compared with the same periods in 2008,</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the decline in the principal balance of our debt outstanding and a decline in the LIBOR interest rate during the first nine months of 2009. The decrease in interest expense was partially offset by an increase in the applicable margin on our term loans in the second quarter of 2009, from 1.75% to 3.50%, related to our term loan agreement amendment, compared with applicable margins of 2.0% to 1.75% during the nine months ended September 30, 2008. At September, 2009, inclusive of our interest rate swaps, 83% of our borrowings were at fixed rates. The average outstanding principal balance on our borrowings was $963.0 million and $986.4 million in the three and nine months ended September 30, 2009, compared with $1.2 billion and $1.4 billion for the same periods in 2008.</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Amortization of prepaid debt fees</w:t>
      </w:r>
      <w:r>
        <w:rPr>
          <w:rFonts w:ascii="Arial" w:cs="Arial" w:eastAsia="Arial" w:hAnsi="Arial"/>
          <w:sz w:val="18"/>
          <w:szCs w:val="18"/>
          <w:color w:val="auto"/>
        </w:rPr>
        <w:t>: The increase in amortization of prepaid debt fees for the three months ended September 30, 2009, compared with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 2008, was primarily due to the redemption of our 7.75% senior subordinated notes (subordinated notes) on July 17, 2009, which resulted in the write-off of $2.0 million in unamortized prepaid debt fees. Amortization of prepaid debt fees decreased 17% in the nine months ended September 30, 2009, compared with the same period in 2008, due to lower debt repayments. Debt repayments were $236.5 million for the nine months ended September 30, 2009, compared with $383.4 million for the nine months ended September 30, 2008. When debt is repaid early, the related portion of unamortized prepaid debt fees is written-off and included in interest expense.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Loss on extinguishment of debt</w:t>
      </w:r>
      <w:r>
        <w:rPr>
          <w:rFonts w:ascii="Arial" w:cs="Arial" w:eastAsia="Arial" w:hAnsi="Arial"/>
          <w:sz w:val="17"/>
          <w:szCs w:val="17"/>
          <w:color w:val="auto"/>
        </w:rPr>
        <w:t>: On July 17, 2009, we redeemed the $109.6 million remaining principal balance of our subordinated notes at 101.938%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amount, which was $111.7 million. This redemption resulted in a $2.5 million loss on extinguishment of debt. During the first quarter of 2009, we entered into exchange agreements with certain holders of our convertible notes to issue, in the aggregate, approximately 2.3 million shares of common stock, valued at $132.9 million, in exchange for, in the aggregate, $121.0 million principal amount of the convertible notes, representing 35% of the aggregate principal outstanding at the date of the exchanges. As a result, we recognized a net loss on extinguishment of debt of $10.3 million, calculated as the inducement loss, plus an allocation of advisory fees less the revaluation gain. For a description of the redemption of our subordinated notes and the induced conversion of a portion of our convertible notes, see Note 6 of the condensed consolidated financial statements.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Other income (expense</w:t>
      </w:r>
      <w:r>
        <w:rPr>
          <w:rFonts w:ascii="Arial" w:cs="Arial" w:eastAsia="Arial" w:hAnsi="Arial"/>
          <w:sz w:val="18"/>
          <w:szCs w:val="18"/>
          <w:color w:val="auto"/>
        </w:rPr>
        <w:t>)</w:t>
      </w:r>
      <w:r>
        <w:rPr>
          <w:rFonts w:ascii="Arial" w:cs="Arial" w:eastAsia="Arial" w:hAnsi="Arial"/>
          <w:sz w:val="18"/>
          <w:szCs w:val="18"/>
          <w:i w:val="1"/>
          <w:iCs w:val="1"/>
          <w:color w:val="auto"/>
        </w:rPr>
        <w:t>, net</w:t>
      </w:r>
      <w:r>
        <w:rPr>
          <w:rFonts w:ascii="Arial" w:cs="Arial" w:eastAsia="Arial" w:hAnsi="Arial"/>
          <w:sz w:val="18"/>
          <w:szCs w:val="18"/>
          <w:color w:val="auto"/>
        </w:rPr>
        <w:t>: In the three and nine months ended September 30, 2009, other expenses, net, resulted primarily from net foreign currency losses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revaluation of monetary asset and liability balances denominated in a currency other than the reporting entity’s functional currency and $1.5 million in legal and advisory fees associated with the amendment to our credit facility. In the three and nine months ended September 30, 2008, other expenses, net, resulted primarily from net foreign currency losses due to the revaluation of monetary asset and liability balances denominated in a currency other than the reporting entity’s functional currency.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gridSpan w:val="2"/>
          </w:tcPr>
          <w:p>
            <w:pPr>
              <w:spacing w:after="0"/>
              <w:rPr>
                <w:sz w:val="20"/>
                <w:szCs w:val="20"/>
                <w:color w:val="auto"/>
              </w:rPr>
            </w:pPr>
            <w:r>
              <w:rPr>
                <w:rFonts w:ascii="Arial" w:cs="Arial" w:eastAsia="Arial" w:hAnsi="Arial"/>
                <w:sz w:val="18"/>
                <w:szCs w:val="18"/>
                <w:b w:val="1"/>
                <w:bCs w:val="1"/>
                <w:color w:val="auto"/>
              </w:rPr>
              <w:t>Financial Condition</w:t>
            </w:r>
          </w:p>
        </w:tc>
        <w:tc>
          <w:tcPr>
            <w:tcW w:w="2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6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 Information:</w:t>
            </w:r>
          </w:p>
        </w:tc>
        <w:tc>
          <w:tcPr>
            <w:tcW w:w="2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300" w:type="dxa"/>
            <w:vAlign w:val="bottom"/>
            <w:gridSpan w:val="7"/>
          </w:tcPr>
          <w:p>
            <w:pPr>
              <w:jc w:val="right"/>
              <w:ind w:right="360"/>
              <w:spacing w:after="0"/>
              <w:rPr>
                <w:sz w:val="20"/>
                <w:szCs w:val="20"/>
                <w:color w:val="auto"/>
              </w:rPr>
            </w:pPr>
            <w:r>
              <w:rPr>
                <w:rFonts w:ascii="Arial" w:cs="Arial" w:eastAsia="Arial" w:hAnsi="Arial"/>
                <w:sz w:val="18"/>
                <w:szCs w:val="18"/>
                <w:b w:val="1"/>
                <w:bCs w:val="1"/>
                <w:color w:val="auto"/>
                <w:w w:val="98"/>
              </w:rPr>
              <w:t>Nine Months Ended 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4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ind w:left="100"/>
              <w:spacing w:after="0"/>
              <w:rPr>
                <w:sz w:val="20"/>
                <w:szCs w:val="20"/>
                <w:color w:val="auto"/>
              </w:rPr>
            </w:pPr>
            <w:r>
              <w:rPr>
                <w:rFonts w:ascii="Arial" w:cs="Arial" w:eastAsia="Arial" w:hAnsi="Arial"/>
                <w:sz w:val="18"/>
                <w:szCs w:val="18"/>
                <w:b w:val="1"/>
                <w:bCs w:val="1"/>
                <w:color w:val="auto"/>
              </w:rPr>
              <w:t>(in</w:t>
            </w:r>
          </w:p>
        </w:tc>
        <w:tc>
          <w:tcPr>
            <w:tcW w:w="6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75"/>
              </w:rPr>
              <w:t>millions)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316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87.1</w:t>
            </w:r>
          </w:p>
        </w:tc>
        <w:tc>
          <w:tcPr>
            <w:tcW w:w="5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Investing activities</w:t>
            </w:r>
          </w:p>
        </w:tc>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Increase in cash and cash equivalents</w:t>
            </w:r>
          </w:p>
        </w:tc>
        <w:tc>
          <w:tcPr>
            <w:tcW w:w="2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5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Cash and cash equivalents was $124.7 million at September 30, 2009, compared with $144.4 million at December 31, 2008. The decrease was primarily due to lower operating results and higher repayments of borrowings in excess of net proceeds from public offerings of common stock.</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provided by operating activities for the nine months ended September 30, 2009 was $69.1 million lower, compared with the same period in 2008, primarily due to lower earnings.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investing activities decreased 12% in the nine months ended September 30, 2009, compared with the same period in 2008, primarily due to delayed purchases of machinery and equipment. Payment of contingent consideration totaling $1.3 million in 2009 was related to our 2006 acquisitions of ELO Sistemas e Tecnologia Ltda and Quantum Consulting, Inc.</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2009, we repaid $236.5 million in borrowings, compared with $384.4 million during the same period in 2008. On June 3, 2009, we completed a public offering of approximately 3.2 million shares of common stock for net proceeds of $160.4 million. In 2008, we completed a public offering of approximately 3.4 million shares of common stock resulting in net proceeds of $310.9 million. On July 17, 2009, we redeemed our 7.75% senior subordinated notes at 101.938% of the principal amount.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generated from the exercise of stock-based awards was $5.0 million for the nine months ended September 30, 2009, compared with $12.4 million during the same period in 2008.</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effect of exchange rates on the cash balances of currencies held in foreign denominations for the nine months ended September 30, 2009 was an increase of $4.9 million, compared with an increase of $569,000 for the same period in 2008.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Non-cash transactions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first quarter of 2009, we completed exchanges with certain holders of our convertible notes in which we issued, in the aggregate, approximately 2.3 million shares of common stock valued at $132.9 million, in exchange for, in the aggregate, $121.0 million principal amount of the convertible notes. See Note 6 of the condensed consolidated financial statements for a further discussion. In the second quarter of 2009, contingent consideration of $2.0 million became payable related to our 2006 acquisition of Flow Metrix, Inc. Payment is expected in the fourth quarter of 2009.</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arrangements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September 30, 2009 and December 31, 2008 that we believe are reasonably likely to have a current or future effect on our financial condition, results of operations, or cash flows.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Sources and Uses of Capital:</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our credit facility, senior subordinated notes, and convertible senior subordinated notes, see Note 6 of the condensed consolidated financial statements.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With the current economic environment and volatile foreign exchange rates, we considered it prudent to strengthen our financial position. In addition to our </w:t>
      </w: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and</w:t>
      </w:r>
      <w:r>
        <w:rPr>
          <w:rFonts w:ascii="Arial" w:cs="Arial" w:eastAsia="Arial" w:hAnsi="Arial"/>
          <w:sz w:val="16"/>
          <w:szCs w:val="16"/>
          <w:i w:val="1"/>
          <w:iCs w:val="1"/>
          <w:color w:val="auto"/>
        </w:rPr>
        <w:t xml:space="preserve"> non-cash transactions </w:t>
      </w:r>
      <w:r>
        <w:rPr>
          <w:rFonts w:ascii="Arial" w:cs="Arial" w:eastAsia="Arial" w:hAnsi="Arial"/>
          <w:sz w:val="16"/>
          <w:szCs w:val="16"/>
          <w:color w:val="auto"/>
        </w:rPr>
        <w:t>discussed above, in April 2009, we amended our credit facility to adjust our maximum leverage ratio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minimum interest coverage ratio. The amendment also allows us to seek a $75 million increase to the $115 million multicurrency revolving line-of-credit without further amendment. The current lending participants may then choose to increase their level of participation or approve the participation of additional lenders. (The amendment was filed with the SEC on April 27, 2009 as Exhibit 4.1 to our Current Report on Form 8-K.) This option will provide further potential sources of liquidity to allow us to support the growth of our business. At September 30, 2009, there were no borrowings outstanding under the revolver, and $48.4 million was utilized by outstanding standby letters of credit, resulting in $66.6 million being available for additional borrowings.</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Sources and Uses of Capital</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description of our letters of credit and performance bonds, see Note 11 of the condensed consolidated financial statements. For a description of our funded and unfunded non-U.S. defined benefit pension plans and our expected 2009 contributions, see Note 8 of the condensed consolidated financial statements.</w:t>
      </w:r>
    </w:p>
    <w:p>
      <w:pPr>
        <w:spacing w:after="0" w:line="20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net deferred income tax assets consist primarily of accumulated net operating loss carryforwards, hedging activities, and tax credits that can be carried forward, some of which are limited by Internal Revenue Code Sections 382 and 383. The limited deferred income tax assets resulted primarily from acquisitions. Based on current projections, we expect to pay $646,000 in U.S. federal and state taxes and approximately $26.9 million in local and foreign taxes in 2009. See Note 10 of the condensed consolidated financial statements for a discussion of our tax provision (benefit) and unrecognized tax benefits.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Working capital, which represents current assets less current liabilities, was $299.4 million at September 30, 2009, compared with $293.3 million at December 31, 2008.</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expect to continue to expand our operations and grow our business through a combination of internal new product development, licensing technology from or to others, distribution agreements, partnership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energy and water industries, competitive pressures, international risks, intellectual property claims, capital market fluctuations, and other factors described under “Risk Factors” within Item 1A of Part I of our Annual Report on Form 10-K for the fiscal year ended December 31, 2008, which was filed with the SEC on February 26, 2009, and Item 1A of Part II of our Quarterly Report on Form 10-Q for the three months ended March 31, 2009, which was filed with the SEC on May 5, 2009, as well as in our “Quantitative and Qualitative Disclosures About Market Risk” within Item 3 of Part 1, included in this Quarterly Report on Form 10-Q.</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11 of the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Revenue Recognition</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majority of our revenue arrangements involve multiple elements, which require us to determine the estimated fair value of each element and then allocate the total arrangement consideration among the separate elements based on the relative fair value percentages. Revenues for each element are then recognized based on the type of element, such as 1) when the products are shipped, 2) services are delivered, 3) percentage-of-completion when implementation services are essential to other elements in the arrangements, 4) upon receipt of customer acceptance, or 5) transfer of title. A majority of our revenue is recognized when products are shipped to or received by a customer or when services are provided.</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values represent the estimated price charged when an item is sold separately. If the fair value of any undelivered element included in a multiple element arrangement cannot be objectively determined, revenue is deferred until all elements are delivered and services have been performed, or until fair value can objectively be determined for any remaining undelivered elements. We review our fair values on an annual basis or more frequently if a significant trend is noted.</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implementation services are essential to a software arrangement, revenue is recognized using either the percentage-of-completion methodology if project costs can be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 Hardware and software post-sale maintenance support fees are recognized ratably over the performance period. Shipping and handling costs and incidental expenses billed to customers are recorded as revenue, with the associated cost charged to cost of revenues. We record sales, use, and value added taxes billed to our customers on a net basis.</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Unearned revenue is recorded when a customer pays for products or services where the criteria for revenue recognition have not been met as of the balance sheet date. Unearned revenues relate primarily to professional services and software associated with our OpenWay contracts, extended warranty, and prepaid post contract support. Unearned revenue is recognized when the applicable revenue recognition criteria are met. Deferred cost is recorded for products or services for which ownership (typically defined as title and risk of loss) has transferred to the customer, but for which the criteria for revenue recognition have not been met as of the balance sheet date. Previously recorded unearned revenue and deferred costs are recognized when the applicable revenue recognition criteria are met. Deferred costs are recognized when the applicable revenue recognition criteria are met. See Note 1 of the condensed consolidated financial statements for unearned revenue and deferred costs outstanding at September 30, 2009 and December 31, 2008.</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Warranty</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When new products are introduced, our process relies on historical averages until sufficient data are available. As actual experience becomes available, it is used to modify the historical averages to ensure the expected warranty costs are within a range of likely outcomes. Management continually evaluates the sufficiency of the warranty provisions and makes adjustments when necessary. The warranty allowances may fluctuate due to changes in estimates for material, labor, and other costs we may incur to repair or replace projected product failures, and we may incur additional warranty and related expenses in the future with respect to new or established products, which could adversely affect our gross margin. The long-term warranty balance includes estimated warranty claims beyond one year.</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Items are removed from inventory using the first-in, first-out method. Inventories include raw materials, sub-assemblies, and finished goods. 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Goodwill and Intangible Assets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and intangible assets result from our acquisitions. We use estimates, including estimates of useful lives of intangible assets, the amount and timing of related future cash flows, and fair values of the related operations, in determining the value assigned to goodwill and intangible assets. Our intangible assets have a finite life and are amortized over their estimated useful lives based on estimated discounted cash flows. Intangible assets are tested for impairment when events or changes in circumstances indicate the carrying value may not be recoverable.</w:t>
      </w:r>
    </w:p>
    <w:p>
      <w:pPr>
        <w:sectPr>
          <w:pgSz w:w="11900" w:h="16838" w:orient="portrait"/>
          <w:cols w:equalWidth="0" w:num="1">
            <w:col w:w="11420"/>
          </w:cols>
          <w:pgMar w:left="240" w:top="122"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test goodwill for impairment each year as of October 1, or more frequently should a significant impairment indicator occur. Our Itron North America operating segment represents one reporting unit, while our Itron International operating segment has three reporting units.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Our 2008 annual goodwill impairment analysis did not result in an impairment charge as the fair value of each reporting unit exceeded its carrying value. The percentage by which the fair value of each reporting unit exceeded its carrying value and the amount of goodwill allocated to each reporting unit at October 1, 2008 was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r>
      <w:tr>
        <w:trPr>
          <w:trHeight w:val="216"/>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5"/>
              </w:rPr>
              <w:t>Exceeded</w:t>
            </w:r>
          </w:p>
        </w:tc>
      </w:tr>
      <w:tr>
        <w:trPr>
          <w:trHeight w:val="241"/>
        </w:trPr>
        <w:tc>
          <w:tcPr>
            <w:tcW w:w="8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Goodwill</w:t>
            </w:r>
          </w:p>
        </w:tc>
        <w:tc>
          <w:tcPr>
            <w:tcW w:w="2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Carrying Value</w:t>
            </w:r>
          </w:p>
        </w:tc>
      </w:tr>
      <w:tr>
        <w:trPr>
          <w:trHeight w:val="223"/>
        </w:trPr>
        <w:tc>
          <w:tcPr>
            <w:tcW w:w="8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October</w:t>
            </w:r>
          </w:p>
        </w:tc>
        <w:tc>
          <w:tcPr>
            <w:tcW w:w="1680" w:type="dxa"/>
            <w:vAlign w:val="bottom"/>
            <w:tcBorders>
              <w:bottom w:val="single" w:sz="8" w:color="auto"/>
            </w:tcBorders>
            <w:gridSpan w:val="2"/>
          </w:tcPr>
          <w:p>
            <w:pPr>
              <w:jc w:val="right"/>
              <w:ind w:right="890"/>
              <w:spacing w:after="0"/>
              <w:rPr>
                <w:sz w:val="20"/>
                <w:szCs w:val="20"/>
                <w:color w:val="auto"/>
              </w:rPr>
            </w:pPr>
            <w:r>
              <w:rPr>
                <w:rFonts w:ascii="Arial" w:cs="Arial" w:eastAsia="Arial" w:hAnsi="Arial"/>
                <w:sz w:val="18"/>
                <w:szCs w:val="18"/>
                <w:b w:val="1"/>
                <w:bCs w:val="1"/>
                <w:color w:val="auto"/>
              </w:rPr>
              <w:t>1, 2008</w:t>
            </w:r>
          </w:p>
        </w:tc>
      </w:tr>
      <w:tr>
        <w:trPr>
          <w:trHeight w:val="216"/>
        </w:trPr>
        <w:tc>
          <w:tcPr>
            <w:tcW w:w="8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8"/>
              </w:rPr>
              <w:t>(in millions)</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Itron North America</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680" w:type="dxa"/>
            <w:vAlign w:val="bottom"/>
            <w:gridSpan w:val="2"/>
            <w:shd w:val="clear" w:color="auto" w:fill="CCEEFF"/>
          </w:tcPr>
          <w:p>
            <w:pPr>
              <w:jc w:val="center"/>
              <w:ind w:left="210"/>
              <w:spacing w:after="0"/>
              <w:rPr>
                <w:sz w:val="20"/>
                <w:szCs w:val="20"/>
                <w:color w:val="auto"/>
              </w:rPr>
            </w:pPr>
            <w:r>
              <w:rPr>
                <w:rFonts w:ascii="Arial" w:cs="Arial" w:eastAsia="Arial" w:hAnsi="Arial"/>
                <w:sz w:val="18"/>
                <w:szCs w:val="18"/>
                <w:color w:val="auto"/>
                <w:w w:val="91"/>
              </w:rPr>
              <w:t>224%</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Itron International - Electricity</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377.8</w:t>
            </w:r>
          </w:p>
        </w:tc>
        <w:tc>
          <w:tcPr>
            <w:tcW w:w="168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29%</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Itron International - Gas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68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88"/>
              </w:rPr>
              <w:t>16%</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Itron International - Water</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408.6</w:t>
            </w:r>
          </w:p>
        </w:tc>
        <w:tc>
          <w:tcPr>
            <w:tcW w:w="168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18%</w:t>
            </w:r>
          </w:p>
        </w:tc>
      </w:tr>
      <w:tr>
        <w:trPr>
          <w:trHeight w:val="257"/>
        </w:trPr>
        <w:tc>
          <w:tcPr>
            <w:tcW w:w="82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1,316.9</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Changes in market demand, the volatility and decline in the worldwide equity markets, and the decline in our market capitalization could negatively impact our annual goodwill impairment test, which could have a significant effect on our current and future results of operations and financial condition.</w:t>
      </w:r>
    </w:p>
    <w:p>
      <w:pPr>
        <w:spacing w:after="0" w:line="17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awards of stock options, stock issued pursuant to our Employee Stock Purchase Plan (ESPP), and the issuance of restricted and unrestricted stock awards and units, based on estimated fair values. The fair values of stock options and ESPP awards are estimated at the date of grant using the Black-Scholes option-pricing model, which includes assumptions for the dividend yield, expected volatility, risk-free interest rate, and expected life. In valuing our stock-based awards, significant judgment is required in determining the expected volatility of our common stock and the expected life that individuals will hold their stock-based awards prior to exercising. Expected volatility is based on the historical and implied volatility of our own common stock.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stock-based awards,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restricted and unrestricted stock awards and units,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adjusted for estimated forfeitures, using the straight-line method over the vesting requirement. A substantial portion of our stock-based compensation cannot be expensed for tax purposes. When we have tax deductions in excess of the compensation cost, they are classified as financing cash inflows in the Consolidated Statements of Cash Flows.</w:t>
      </w:r>
    </w:p>
    <w:p>
      <w:pPr>
        <w:spacing w:after="0" w:line="19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Defined Benefit Pension Plans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sponsor both funded and unfunded non-U.S. defined benefit pension plans.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net of tax, the actuarial gains or losses and prior service costs or credits, if any, that arise during the period but are not recognized as components of net periodic benefit cost.</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rate of future compensation increase. The discount rate is a significant assumption used to value our pension benefit obligation. We use the average 15 year corporate bond yield curve from the central banks of each respective country in which we have an established benefit pension plan. The weighted average discount rate used to measure the projected benefit obligation as of December 31, 2008 was 6.52%. A change of 25 basis points in the discount rate would change our pension benefit obligation by approximately $2 million. The financial and actuarial assumptions used at December 31, 2008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other comprehensive income in the period in which they occur.</w:t>
      </w:r>
    </w:p>
    <w:p>
      <w:pPr>
        <w:sectPr>
          <w:pgSz w:w="11900" w:h="16838" w:orient="portrait"/>
          <w:cols w:equalWidth="0" w:num="1">
            <w:col w:w="11420"/>
          </w:cols>
          <w:pgMar w:left="240" w:top="121"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5" w:name="page46"/>
    <w:bookmarkEnd w:id="4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general funding policy for these qualified pension plans is to contribute amounts at least sufficient to satisfy funding standards of the respective countries for each plan. See Note 8 of the condensed consolidated financial statements for our expected contributions for the year.</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Convertible Debt</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ASC 470, which was originally issued as Financial Accounting Standards Board (FASB) Staff Position (FSP) APB 14-1, </w:t>
      </w:r>
      <w:r>
        <w:rPr>
          <w:rFonts w:ascii="Arial" w:cs="Arial" w:eastAsia="Arial" w:hAnsi="Arial"/>
          <w:sz w:val="18"/>
          <w:szCs w:val="18"/>
          <w:i w:val="1"/>
          <w:iCs w:val="1"/>
          <w:color w:val="auto"/>
        </w:rPr>
        <w:t>Accounting for Convertible Debt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That May Be Settled in Cash upon Conversion (Including Partial Cash Settlement) </w:t>
      </w:r>
      <w:r>
        <w:rPr>
          <w:rFonts w:ascii="Arial" w:cs="Arial" w:eastAsia="Arial" w:hAnsi="Arial"/>
          <w:sz w:val="18"/>
          <w:szCs w:val="18"/>
          <w:color w:val="auto"/>
        </w:rPr>
        <w:t>(FSP 14-1), requires our convertible debt to be separated into</w:t>
      </w:r>
      <w:r>
        <w:rPr>
          <w:rFonts w:ascii="Arial" w:cs="Arial" w:eastAsia="Arial" w:hAnsi="Arial"/>
          <w:sz w:val="18"/>
          <w:szCs w:val="18"/>
          <w:i w:val="1"/>
          <w:iCs w:val="1"/>
          <w:color w:val="auto"/>
        </w:rPr>
        <w:t xml:space="preserve"> </w:t>
      </w:r>
      <w:r>
        <w:rPr>
          <w:rFonts w:ascii="Arial" w:cs="Arial" w:eastAsia="Arial" w:hAnsi="Arial"/>
          <w:sz w:val="18"/>
          <w:szCs w:val="18"/>
          <w:color w:val="auto"/>
        </w:rPr>
        <w:t>its liability and equity components in a manner that reflects our non-convertible debt borrowing rate, which we determined to be 7.38% at the time of the issuance of the convertible notes issuance in August 2006. Upon derecognition of the convertible notes, we are required to remeasure the fair value of the liability and equity components using a borrowing rate for similar non-convertible debt that would be applicable to Itron at the date of the derecognition. Any increase or decrease in borrowing rates from the inception of the debt to the date of derecognition could result in a gain or loss, respectively, on extinguishment. Based on market conditions and our credit rating at the date of derecognition, the borrowing rate could be materially different from the rate determined at the inception of the convertible debt.</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estimate income taxes in each of the taxing jurisdictions in which we operate. Changes in our effective tax rate are subject to several factors, including fluctuations in the forecasted mix of earnings in domestic and international jurisdictions, new or revised tax legislation and accounting pronouncements, tax credits (including research and development and foreign tax), and state income taxes. Significant judgment is required in determining our annual tax rate and in evaluating our tax positions. We assess the likelihood that deferred tax assets, which include net operating loss carryforwards and temporary differences expected to be deductible in future years, will be recoverable.</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record valuation allowances to reduce deferred income tax assets to the extent we believe it is more likely than not that a portion of such assets will not be realized. In making such determinations, we consider all available positive and negative evidence, including scheduled reversals of deferred income tax liabilities, projected future taxable income, tax planning strategies, and our ability to carry back losses to prior years. We are required to make assumptions and judgments about potential outcomes that lie outside management’s control. Our most sensitive and critical factor is projected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audit in multiple taxing jurisdictions in which we operate. These audits may involve complex issues, which may require an extended period of time to resolve. We believe we have recorded adequate income tax provisions and reserves for uncertain tax positions.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effective tax rate may be materially affected in the period of final settlement with the tax authorities.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Derivative Instruments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All derivative instruments, whether designated in hedging relationships or not, are recorded on the Consolidated Balance Sheets at fair value as either assets or liabilities. The components and fair values of our derivative instruments, which are primarily interest rate swaps, are determined using the fair value measurements of significant other observable inputs (also known as “Level 2”), as defined by FASB ASC 820-10-20,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 If the derivative is designated as a fair value hedge, the changes in the fair value of the derivative and of the hedged item attributable to the hedged risk are recognized in earnings. If the derivative is designated as a cash flow hedge, the effective portions of changes in the fair value of the derivative are recorded as a component of other comprehensive income and are recognized in earnings when the hedged item affects earnings. If the derivative is a net investment hedge, the effective portion of any unrealized gain or loss is reported in accumulated other comprehensive income as a net unrealized gain or loss on derivative instruments.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 Derivatives are not used for trading or speculative purposes. We have one counterparty to our derivatives, which is a major international financial institution, with whom we have a master netting agreement; however, our derivative positions are not disclosed on a net basis. There are no credit-risk-related contingent features within our derivative instruments.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1 of the condensed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6" w:name="page47"/>
    <w:bookmarkEnd w:id="4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fair values of assets and liabilities. We use derivative contracts only to manage existing underlying exposures. Accordingly, we do not use derivative contracts for trading or speculative purposes.</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estimated cash interest payments over the remaining lives of our debt at September 30, 2009. As a result of our interest rate swaps at September 30, 2009, 83% of our borrowings are at fixed rates. Weighted average variable rates in the table are based on implied forward rates in the Bloomberg U.S. dollar yield curve as of September 30, 2009, our estimated leverage ratio, which determines our additional interest rate margin, and a static foreign exchange rate at September 30, 2009.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Beyond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2011</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8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Fixed Rate Debt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(in millions)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 xml:space="preserve">Principal: Convertible notes </w:t>
            </w:r>
            <w:r>
              <w:rPr>
                <w:rFonts w:ascii="Arial" w:cs="Arial" w:eastAsia="Arial" w:hAnsi="Arial"/>
                <w:sz w:val="25"/>
                <w:szCs w:val="25"/>
                <w:color w:val="auto"/>
                <w:vertAlign w:val="superscript"/>
              </w:rPr>
              <w:t>(1)</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223.6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Interest rate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i w:val="1"/>
                <w:iCs w:val="1"/>
                <w:color w:val="auto"/>
              </w:rPr>
              <w:t>Variable Rate Debt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Principal: U.S. dollar term loan</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Average interest rate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4.01%</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4.54%</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5.61%</w:t>
            </w: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Principal: Euro term loan</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10"/>
              <w:spacing w:after="0"/>
              <w:rPr>
                <w:sz w:val="20"/>
                <w:szCs w:val="20"/>
                <w:color w:val="auto"/>
              </w:rPr>
            </w:pPr>
            <w:r>
              <w:rPr>
                <w:rFonts w:ascii="Arial" w:cs="Arial" w:eastAsia="Arial" w:hAnsi="Arial"/>
                <w:sz w:val="18"/>
                <w:szCs w:val="18"/>
                <w:color w:val="auto"/>
              </w:rPr>
              <w:t>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296.2</w:t>
            </w:r>
          </w:p>
        </w:tc>
        <w:tc>
          <w:tcPr>
            <w:tcW w:w="14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w w:val="95"/>
              </w:rPr>
              <w:t xml:space="preserve">Interest rate swaps on U.S. dollar term loan </w:t>
            </w:r>
            <w:r>
              <w:rPr>
                <w:rFonts w:ascii="Arial" w:cs="Arial" w:eastAsia="Arial" w:hAnsi="Arial"/>
                <w:sz w:val="25"/>
                <w:szCs w:val="25"/>
                <w:color w:val="auto"/>
                <w:w w:val="95"/>
                <w:vertAlign w:val="superscript"/>
              </w:rPr>
              <w:t>(2)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Average interest rate (Pay)</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2.68%</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 (Receive)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Net/Spread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(2.42%)</w:t>
            </w:r>
          </w:p>
        </w:tc>
        <w:tc>
          <w:tcPr>
            <w:tcW w:w="2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(0.86%)</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tcPr>
          <w:p>
            <w:pPr>
              <w:spacing w:after="0" w:line="216" w:lineRule="exact"/>
              <w:rPr>
                <w:sz w:val="20"/>
                <w:szCs w:val="20"/>
                <w:color w:val="auto"/>
              </w:rPr>
            </w:pPr>
            <w:r>
              <w:rPr>
                <w:rFonts w:ascii="Arial" w:cs="Arial" w:eastAsia="Arial" w:hAnsi="Arial"/>
                <w:sz w:val="18"/>
                <w:szCs w:val="18"/>
                <w:color w:val="auto"/>
              </w:rPr>
              <w:t xml:space="preserve">Interest rate swap on euro term loan </w:t>
            </w:r>
            <w:r>
              <w:rPr>
                <w:rFonts w:ascii="Arial" w:cs="Arial" w:eastAsia="Arial" w:hAnsi="Arial"/>
                <w:sz w:val="25"/>
                <w:szCs w:val="25"/>
                <w:color w:val="auto"/>
                <w:vertAlign w:val="superscript"/>
              </w:rPr>
              <w:t>(3)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 (Pay)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Average interest rate (Receive)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2.74%</w:t>
            </w: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3.03%</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4.14%</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Net/Spread</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(3.85%)</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240" w:hanging="146"/>
        <w:spacing w:after="0" w:line="235"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The face value of our convertible notes is $223.6 million, while the carrying value is $205.8 million. (See Note 6 for a summary of our convertible note terms and a reconciliation between the face and carrying values). Our convertible notes mature in August 2026. Although we have no current plans to exercise our call option, we are amortizing the remaining $17.8 million discount on the liability component of the convertible notes over the next 21 months and have reflected the principal repayment in 2011 due to the combination of put, call, and conversion options that are part of the terms of the convertible note agreement.</w:t>
      </w:r>
    </w:p>
    <w:p>
      <w:pPr>
        <w:spacing w:after="0" w:line="204" w:lineRule="exact"/>
        <w:rPr>
          <w:sz w:val="20"/>
          <w:szCs w:val="20"/>
          <w:color w:val="auto"/>
        </w:rPr>
      </w:pPr>
    </w:p>
    <w:p>
      <w:pPr>
        <w:jc w:val="both"/>
        <w:ind w:left="240" w:hanging="146"/>
        <w:spacing w:after="0" w:line="216" w:lineRule="auto"/>
        <w:rPr>
          <w:sz w:val="20"/>
          <w:szCs w:val="20"/>
          <w:color w:val="auto"/>
        </w:rPr>
      </w:pPr>
      <w:r>
        <w:rPr>
          <w:rFonts w:ascii="Arial" w:cs="Arial" w:eastAsia="Arial" w:hAnsi="Arial"/>
          <w:sz w:val="25"/>
          <w:szCs w:val="25"/>
          <w:color w:val="auto"/>
          <w:vertAlign w:val="superscript"/>
        </w:rPr>
        <w:t>(2)</w:t>
      </w:r>
      <w:r>
        <w:rPr>
          <w:rFonts w:ascii="Arial" w:cs="Arial" w:eastAsia="Arial" w:hAnsi="Arial"/>
          <w:sz w:val="18"/>
          <w:szCs w:val="18"/>
          <w:color w:val="auto"/>
        </w:rPr>
        <w:t>The one-year interest rate swaps are used to convert $200 million of our $301.2 million U.S. dollar term loan from a floating interest rate to a fixed interest rate (see Note 7 of the condensed consolidated financial statements).</w:t>
      </w:r>
    </w:p>
    <w:p>
      <w:pPr>
        <w:spacing w:after="0" w:line="203" w:lineRule="exact"/>
        <w:rPr>
          <w:sz w:val="20"/>
          <w:szCs w:val="20"/>
          <w:color w:val="auto"/>
        </w:rPr>
      </w:pPr>
    </w:p>
    <w:p>
      <w:pPr>
        <w:jc w:val="both"/>
        <w:ind w:left="240" w:hanging="146"/>
        <w:spacing w:after="0" w:line="235" w:lineRule="auto"/>
        <w:rPr>
          <w:sz w:val="20"/>
          <w:szCs w:val="20"/>
          <w:color w:val="auto"/>
        </w:rPr>
      </w:pPr>
      <w:r>
        <w:rPr>
          <w:rFonts w:ascii="Arial" w:cs="Arial" w:eastAsia="Arial" w:hAnsi="Arial"/>
          <w:sz w:val="25"/>
          <w:szCs w:val="25"/>
          <w:color w:val="auto"/>
          <w:vertAlign w:val="superscript"/>
        </w:rPr>
        <w:t>(3)</w:t>
      </w:r>
      <w:r>
        <w:rPr>
          <w:rFonts w:ascii="Arial" w:cs="Arial" w:eastAsia="Arial" w:hAnsi="Arial"/>
          <w:sz w:val="18"/>
          <w:szCs w:val="18"/>
          <w:color w:val="auto"/>
        </w:rPr>
        <w:t>The amortizing euro denominated interest rate swap is used to convert $280.4 million (€191.6 million) of our $317.0 million (€216.6 million) euro denominated variable rate term loan from a floating three-month Euro Interbank Offered Rate (EURIBOR), plus an additional margin, to a fixed rate of 6.59%, through December 31, 2012, plus an additional margin. As a result of the amortization schedule, the interest rate swap will terminate before the stated maturity of the term loan. This variable-to-fixed interest rate swap is considered a highly effective cash flow hedge (see Note 7 of the condensed consolidated financial statements).</w:t>
      </w:r>
    </w:p>
    <w:p>
      <w:pPr>
        <w:spacing w:after="0" w:line="23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Based on a sensitivity analysis as of September 30, 2009, we estimate that if market interest rates average one percentage point higher in 2009 than in the table above, our earnings before income taxes in 2009 would not be materially impacted due to our interest rate swaps in place at September 30, 2009.</w:t>
      </w:r>
    </w:p>
    <w:p>
      <w:pPr>
        <w:spacing w:after="0" w:line="15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ectPr>
          <w:pgSz w:w="11900" w:h="16838" w:orient="portrait"/>
          <w:cols w:equalWidth="0" w:num="1">
            <w:col w:w="11420"/>
          </w:cols>
          <w:pgMar w:left="240" w:top="122"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47" w:name="page48"/>
    <w:bookmarkEnd w:id="4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conduct business in a number of countries. As a result, the majority of our revenues and operating expenses are denominated in foreign currencies; therefore, we face exposure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International revenues were 66% and 68% for the three and nine months ended September 30, 2009, compared with 66% and 67% for the same periods in 2008.</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exposed to foreign exchange risk through our international subsidiaries. As a result of our acquisition of an international company, we entered into a euro denominated term loan, which exposes us to fluctuations in the euro foreign exchange rate. Therefore, we have designated this foreign currency denominated term loan as a hedge of our net investment in international operations. The non-functional currency term loan is revalued into U.S. dollar at each balance sheet date and the changes in value associated with currency fluctuations are recorded as adjustments to long-term debt with offsetting gains and losses recorded in OCI. We had no hedge ineffectiveness. (See Note 7 of the condensed consolidated financial statements.)</w:t>
      </w:r>
    </w:p>
    <w:p>
      <w:pPr>
        <w:spacing w:after="0" w:line="2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also exposed to foreign exchange risk through our intercompany financing transactions. At each period end, foreign currency monetary assets and liabilities, including intercompany balances, are revalued with the change recorded to other income and expense. In the second quarter of 2008, we began entering into monthly foreign exchange forward contracts, not designated for hedge accounting, with the intent to reduce earnings volatility associated with certain foreign currency balances of intercompany financing transactions. During the nine months ended September 30, 2009, the notional amount of our outstanding forward contracts ranged from less than $1 million to $44 million offsetting exposures from the euro, British pound, Czech koruna, and Hungarian forint.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left="500" w:hanging="492"/>
        <w:spacing w:after="0" w:line="270" w:lineRule="auto"/>
        <w:tabs>
          <w:tab w:leader="none" w:pos="50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An evaluation was performed under the supervision and with the participation of our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September 30, 2009,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77" w:lineRule="exact"/>
        <w:rPr>
          <w:rFonts w:ascii="Arial" w:cs="Arial" w:eastAsia="Arial" w:hAnsi="Arial"/>
          <w:sz w:val="17"/>
          <w:szCs w:val="17"/>
          <w:color w:val="auto"/>
        </w:rPr>
      </w:pPr>
    </w:p>
    <w:p>
      <w:pPr>
        <w:ind w:left="500" w:hanging="447"/>
        <w:spacing w:after="0" w:line="308" w:lineRule="auto"/>
        <w:tabs>
          <w:tab w:leader="none" w:pos="500"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controls over financial reporting. </w:t>
      </w:r>
      <w:r>
        <w:rPr>
          <w:rFonts w:ascii="Arial" w:cs="Arial" w:eastAsia="Arial" w:hAnsi="Arial"/>
          <w:sz w:val="17"/>
          <w:szCs w:val="17"/>
          <w:color w:val="auto"/>
        </w:rPr>
        <w:t>There have been no changes in internal control over financial reporting during the quarter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2009 that have materially affected, or are reasonably likely to materially affect, our internal controls over financial reporting.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as defined by Item 103 of Regulation S-K, during the third quarter of 2009.</w:t>
      </w:r>
    </w:p>
    <w:p>
      <w:pPr>
        <w:spacing w:after="0" w:line="24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material changes to risk factors during the third quarter of 2009 from those previously disclosed in Item 1A of Part I of our Annual Report on Form 10-K for the fiscal year ended December 31, 2008, which was filed with the SEC on February 26, 2009, and Item 1A of Part II of our Quarterly Report on Form 10-Q for the three months ended March 31, 2009, which was filed with the SEC on May 5, 2009.</w:t>
      </w:r>
    </w:p>
    <w:p>
      <w:pPr>
        <w:spacing w:after="0" w:line="20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shareholders of Itron during the third quarter of 2009.</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information was required to be disclosed in a report on Form 8-K during the third quarter of 2009 that was not reported.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Number</w:t>
            </w:r>
          </w:p>
        </w:tc>
        <w:tc>
          <w:tcPr>
            <w:tcW w:w="10040" w:type="dxa"/>
            <w:vAlign w:val="bottom"/>
            <w:gridSpan w:val="4"/>
          </w:tcPr>
          <w:p>
            <w:pPr>
              <w:ind w:left="120"/>
              <w:spacing w:after="0"/>
              <w:rPr>
                <w:sz w:val="20"/>
                <w:szCs w:val="20"/>
                <w:color w:val="auto"/>
              </w:rPr>
            </w:pPr>
            <w:r>
              <w:rPr>
                <w:rFonts w:ascii="Arial" w:cs="Arial" w:eastAsia="Arial" w:hAnsi="Arial"/>
                <w:sz w:val="18"/>
                <w:szCs w:val="18"/>
                <w:b w:val="1"/>
                <w:bCs w:val="1"/>
                <w:color w:val="auto"/>
              </w:rPr>
              <w:t>Description of Exhibits</w:t>
            </w:r>
          </w:p>
        </w:tc>
      </w:tr>
      <w:tr>
        <w:trPr>
          <w:trHeight w:val="27"/>
        </w:trPr>
        <w:tc>
          <w:tcPr>
            <w:tcW w:w="3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580" w:type="dxa"/>
            <w:vAlign w:val="bottom"/>
            <w:shd w:val="clear" w:color="auto" w:fill="000000"/>
          </w:tcPr>
          <w:p>
            <w:pPr>
              <w:spacing w:after="0"/>
              <w:rPr>
                <w:sz w:val="2"/>
                <w:szCs w:val="2"/>
                <w:color w:val="auto"/>
              </w:rPr>
            </w:pPr>
          </w:p>
        </w:tc>
        <w:tc>
          <w:tcPr>
            <w:tcW w:w="2640" w:type="dxa"/>
            <w:vAlign w:val="bottom"/>
            <w:shd w:val="clear" w:color="auto" w:fill="000000"/>
          </w:tcPr>
          <w:p>
            <w:pPr>
              <w:spacing w:after="0"/>
              <w:rPr>
                <w:sz w:val="2"/>
                <w:szCs w:val="2"/>
                <w:color w:val="auto"/>
              </w:rPr>
            </w:pPr>
          </w:p>
        </w:tc>
        <w:tc>
          <w:tcPr>
            <w:tcW w:w="4700" w:type="dxa"/>
            <w:vAlign w:val="bottom"/>
            <w:shd w:val="clear" w:color="auto" w:fill="000000"/>
          </w:tcPr>
          <w:p>
            <w:pPr>
              <w:spacing w:after="0"/>
              <w:rPr>
                <w:sz w:val="2"/>
                <w:szCs w:val="2"/>
                <w:color w:val="auto"/>
              </w:rPr>
            </w:pPr>
          </w:p>
        </w:tc>
      </w:tr>
      <w:tr>
        <w:trPr>
          <w:trHeight w:val="392"/>
        </w:trPr>
        <w:tc>
          <w:tcPr>
            <w:tcW w:w="320" w:type="dxa"/>
            <w:vAlign w:val="bottom"/>
          </w:tcPr>
          <w:p>
            <w:pPr>
              <w:spacing w:after="0"/>
              <w:rPr>
                <w:sz w:val="20"/>
                <w:szCs w:val="20"/>
                <w:color w:val="auto"/>
              </w:rPr>
            </w:pPr>
            <w:r>
              <w:rPr>
                <w:rFonts w:ascii="Arial" w:cs="Arial" w:eastAsia="Arial" w:hAnsi="Arial"/>
                <w:sz w:val="18"/>
                <w:szCs w:val="18"/>
                <w:color w:val="0000EE"/>
                <w:w w:val="85"/>
              </w:rPr>
              <w:t>12.</w:t>
            </w:r>
            <w:r>
              <w:rPr>
                <w:rFonts w:ascii="Arial" w:cs="Arial" w:eastAsia="Arial" w:hAnsi="Arial"/>
                <w:sz w:val="18"/>
                <w:szCs w:val="18"/>
                <w:u w:val="single" w:color="auto"/>
                <w:color w:val="0000EE"/>
                <w:w w:val="85"/>
              </w:rPr>
              <w:t>1</w:t>
            </w:r>
          </w:p>
        </w:tc>
        <w:tc>
          <w:tcPr>
            <w:tcW w:w="1060" w:type="dxa"/>
            <w:vAlign w:val="bottom"/>
          </w:tcPr>
          <w:p>
            <w:pPr>
              <w:spacing w:after="0"/>
              <w:rPr>
                <w:sz w:val="24"/>
                <w:szCs w:val="24"/>
                <w:color w:val="auto"/>
              </w:rPr>
            </w:pPr>
          </w:p>
        </w:tc>
        <w:tc>
          <w:tcPr>
            <w:tcW w:w="10040" w:type="dxa"/>
            <w:vAlign w:val="bottom"/>
            <w:gridSpan w:val="4"/>
          </w:tcPr>
          <w:p>
            <w:pPr>
              <w:ind w:left="120"/>
              <w:spacing w:after="0"/>
              <w:rPr>
                <w:sz w:val="20"/>
                <w:szCs w:val="20"/>
                <w:color w:val="auto"/>
              </w:rPr>
            </w:pPr>
            <w:r>
              <w:rPr>
                <w:rFonts w:ascii="Arial" w:cs="Arial" w:eastAsia="Arial" w:hAnsi="Arial"/>
                <w:sz w:val="18"/>
                <w:szCs w:val="18"/>
                <w:color w:val="0000EE"/>
              </w:rPr>
              <w:t>Statement re Computation of Ratios</w:t>
            </w:r>
          </w:p>
        </w:tc>
      </w:tr>
      <w:tr>
        <w:trPr>
          <w:trHeight w:val="20"/>
        </w:trPr>
        <w:tc>
          <w:tcPr>
            <w:tcW w:w="3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1</w:t>
            </w:r>
          </w:p>
        </w:tc>
        <w:tc>
          <w:tcPr>
            <w:tcW w:w="1060" w:type="dxa"/>
            <w:vAlign w:val="bottom"/>
          </w:tcPr>
          <w:p>
            <w:pPr>
              <w:spacing w:after="0"/>
              <w:rPr>
                <w:sz w:val="24"/>
                <w:szCs w:val="24"/>
                <w:color w:val="auto"/>
              </w:rPr>
            </w:pPr>
          </w:p>
        </w:tc>
        <w:tc>
          <w:tcPr>
            <w:tcW w:w="10040" w:type="dxa"/>
            <w:vAlign w:val="bottom"/>
            <w:gridSpan w:val="4"/>
          </w:tcPr>
          <w:p>
            <w:pPr>
              <w:ind w:left="120"/>
              <w:spacing w:after="0"/>
              <w:rPr>
                <w:sz w:val="20"/>
                <w:szCs w:val="20"/>
                <w:color w:val="auto"/>
              </w:rPr>
            </w:pPr>
            <w:r>
              <w:rPr>
                <w:rFonts w:ascii="Arial" w:cs="Arial" w:eastAsia="Arial" w:hAnsi="Arial"/>
                <w:sz w:val="18"/>
                <w:szCs w:val="18"/>
                <w:color w:val="0000EE"/>
              </w:rPr>
              <w:t>Certification Pursuant to Section 302 of the Sarbanes-Oxley Act of 2002</w:t>
            </w:r>
          </w:p>
        </w:tc>
      </w:tr>
      <w:tr>
        <w:trPr>
          <w:trHeight w:val="20"/>
        </w:trPr>
        <w:tc>
          <w:tcPr>
            <w:tcW w:w="3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gridSpan w:val="2"/>
            <w:shd w:val="clear" w:color="auto" w:fill="0000EE"/>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85"/>
              </w:rPr>
              <w:t>31.</w:t>
            </w:r>
            <w:r>
              <w:rPr>
                <w:rFonts w:ascii="Arial" w:cs="Arial" w:eastAsia="Arial" w:hAnsi="Arial"/>
                <w:sz w:val="18"/>
                <w:szCs w:val="18"/>
                <w:u w:val="single" w:color="auto"/>
                <w:color w:val="0000EE"/>
                <w:w w:val="85"/>
              </w:rPr>
              <w:t>2</w:t>
            </w:r>
          </w:p>
        </w:tc>
        <w:tc>
          <w:tcPr>
            <w:tcW w:w="1060" w:type="dxa"/>
            <w:vAlign w:val="bottom"/>
          </w:tcPr>
          <w:p>
            <w:pPr>
              <w:spacing w:after="0"/>
              <w:rPr>
                <w:sz w:val="24"/>
                <w:szCs w:val="24"/>
                <w:color w:val="auto"/>
              </w:rPr>
            </w:pPr>
          </w:p>
        </w:tc>
        <w:tc>
          <w:tcPr>
            <w:tcW w:w="10040" w:type="dxa"/>
            <w:vAlign w:val="bottom"/>
            <w:gridSpan w:val="4"/>
          </w:tcPr>
          <w:p>
            <w:pPr>
              <w:ind w:left="120"/>
              <w:spacing w:after="0"/>
              <w:rPr>
                <w:sz w:val="20"/>
                <w:szCs w:val="20"/>
                <w:color w:val="auto"/>
              </w:rPr>
            </w:pPr>
            <w:r>
              <w:rPr>
                <w:rFonts w:ascii="Arial" w:cs="Arial" w:eastAsia="Arial" w:hAnsi="Arial"/>
                <w:sz w:val="18"/>
                <w:szCs w:val="18"/>
                <w:color w:val="0000EE"/>
              </w:rPr>
              <w:t>Certification Pursuant to Section 302 of the Sarbanes-Oxley Act of 2002</w:t>
            </w:r>
          </w:p>
        </w:tc>
      </w:tr>
      <w:tr>
        <w:trPr>
          <w:trHeight w:val="20"/>
        </w:trPr>
        <w:tc>
          <w:tcPr>
            <w:tcW w:w="3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20" w:type="dxa"/>
            <w:vAlign w:val="bottom"/>
            <w:gridSpan w:val="2"/>
            <w:shd w:val="clear" w:color="auto" w:fill="0000EE"/>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0000EE"/>
                <w:w w:val="85"/>
              </w:rPr>
              <w:t>32.</w:t>
            </w:r>
            <w:r>
              <w:rPr>
                <w:rFonts w:ascii="Arial" w:cs="Arial" w:eastAsia="Arial" w:hAnsi="Arial"/>
                <w:sz w:val="18"/>
                <w:szCs w:val="18"/>
                <w:u w:val="single" w:color="auto"/>
                <w:color w:val="0000EE"/>
                <w:w w:val="85"/>
              </w:rPr>
              <w:t>1</w:t>
            </w:r>
          </w:p>
        </w:tc>
        <w:tc>
          <w:tcPr>
            <w:tcW w:w="1060" w:type="dxa"/>
            <w:vAlign w:val="bottom"/>
          </w:tcPr>
          <w:p>
            <w:pPr>
              <w:spacing w:after="0"/>
              <w:rPr>
                <w:sz w:val="24"/>
                <w:szCs w:val="24"/>
                <w:color w:val="auto"/>
              </w:rPr>
            </w:pPr>
          </w:p>
        </w:tc>
        <w:tc>
          <w:tcPr>
            <w:tcW w:w="10040" w:type="dxa"/>
            <w:vAlign w:val="bottom"/>
            <w:gridSpan w:val="4"/>
          </w:tcPr>
          <w:p>
            <w:pPr>
              <w:ind w:left="120"/>
              <w:spacing w:after="0"/>
              <w:rPr>
                <w:sz w:val="20"/>
                <w:szCs w:val="20"/>
                <w:color w:val="auto"/>
              </w:rPr>
            </w:pPr>
            <w:r>
              <w:rPr>
                <w:rFonts w:ascii="Arial" w:cs="Arial" w:eastAsia="Arial" w:hAnsi="Arial"/>
                <w:sz w:val="18"/>
                <w:szCs w:val="18"/>
                <w:color w:val="0000EE"/>
              </w:rPr>
              <w:t>Certification Pursuant to Section 906 of the Sarbanes-Oxley Act of 2002</w:t>
            </w:r>
          </w:p>
        </w:tc>
      </w:tr>
      <w:tr>
        <w:trPr>
          <w:trHeight w:val="966"/>
        </w:trPr>
        <w:tc>
          <w:tcPr>
            <w:tcW w:w="32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20" w:type="dxa"/>
            <w:vAlign w:val="bottom"/>
            <w:tcBorders>
              <w:top w:val="single" w:sz="8" w:color="0000EE"/>
            </w:tcBorders>
            <w:gridSpan w:val="2"/>
          </w:tcPr>
          <w:p>
            <w:pPr>
              <w:jc w:val="right"/>
              <w:ind w:right="920"/>
              <w:spacing w:after="0"/>
              <w:rPr>
                <w:sz w:val="20"/>
                <w:szCs w:val="20"/>
                <w:color w:val="auto"/>
              </w:rPr>
            </w:pPr>
            <w:r>
              <w:rPr>
                <w:rFonts w:ascii="Arial" w:cs="Arial" w:eastAsia="Arial" w:hAnsi="Arial"/>
                <w:sz w:val="18"/>
                <w:szCs w:val="18"/>
                <w:color w:val="auto"/>
              </w:rPr>
              <w:t>47</w:t>
            </w:r>
          </w:p>
        </w:tc>
        <w:tc>
          <w:tcPr>
            <w:tcW w:w="4700" w:type="dxa"/>
            <w:vAlign w:val="bottom"/>
          </w:tcPr>
          <w:p>
            <w:pPr>
              <w:spacing w:after="0"/>
              <w:rPr>
                <w:sz w:val="24"/>
                <w:szCs w:val="24"/>
                <w:color w:val="auto"/>
              </w:rPr>
            </w:pPr>
          </w:p>
        </w:tc>
      </w:tr>
      <w:tr>
        <w:trPr>
          <w:trHeight w:val="118"/>
        </w:trPr>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58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47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Table of Content</w:t>
        </w:r>
      </w:hyperlink>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7"/>
              </w:rPr>
              <w:t>ITRON, INC.</w:t>
            </w:r>
          </w:p>
        </w:tc>
      </w:tr>
      <w:tr>
        <w:trPr>
          <w:trHeight w:val="439"/>
        </w:trPr>
        <w:tc>
          <w:tcPr>
            <w:tcW w:w="3740" w:type="dxa"/>
            <w:vAlign w:val="bottom"/>
          </w:tcPr>
          <w:p>
            <w:pPr>
              <w:jc w:val="center"/>
              <w:spacing w:after="0"/>
              <w:rPr>
                <w:sz w:val="20"/>
                <w:szCs w:val="20"/>
                <w:color w:val="auto"/>
              </w:rPr>
            </w:pPr>
            <w:r>
              <w:rPr>
                <w:rFonts w:ascii="Arial" w:cs="Arial" w:eastAsia="Arial" w:hAnsi="Arial"/>
                <w:sz w:val="18"/>
                <w:szCs w:val="18"/>
                <w:color w:val="auto"/>
                <w:w w:val="91"/>
              </w:rPr>
              <w:t>November 2, 2009</w:t>
            </w:r>
          </w:p>
        </w:tc>
        <w:tc>
          <w:tcPr>
            <w:tcW w:w="1840" w:type="dxa"/>
            <w:vAlign w:val="bottom"/>
            <w:gridSpan w:val="2"/>
          </w:tcPr>
          <w:p>
            <w:pPr>
              <w:ind w:left="1540"/>
              <w:spacing w:after="0"/>
              <w:rPr>
                <w:sz w:val="20"/>
                <w:szCs w:val="20"/>
                <w:color w:val="auto"/>
              </w:rPr>
            </w:pPr>
            <w:r>
              <w:rPr>
                <w:rFonts w:ascii="Arial" w:cs="Arial" w:eastAsia="Arial" w:hAnsi="Arial"/>
                <w:sz w:val="18"/>
                <w:szCs w:val="18"/>
                <w:color w:val="auto"/>
              </w:rPr>
              <w:t>By:</w:t>
            </w:r>
          </w:p>
        </w:tc>
        <w:tc>
          <w:tcPr>
            <w:tcW w:w="5840" w:type="dxa"/>
            <w:vAlign w:val="bottom"/>
          </w:tcPr>
          <w:p>
            <w:pPr>
              <w:jc w:val="right"/>
              <w:ind w:right="1830"/>
              <w:spacing w:after="0"/>
              <w:rPr>
                <w:sz w:val="20"/>
                <w:szCs w:val="20"/>
                <w:color w:val="auto"/>
              </w:rPr>
            </w:pPr>
            <w:r>
              <w:rPr>
                <w:rFonts w:ascii="Arial" w:cs="Arial" w:eastAsia="Arial" w:hAnsi="Arial"/>
                <w:sz w:val="18"/>
                <w:szCs w:val="18"/>
                <w:color w:val="auto"/>
              </w:rPr>
              <w:t>/s/ STEVEN M. HELMBRECHT</w:t>
            </w:r>
          </w:p>
        </w:tc>
      </w:tr>
      <w:tr>
        <w:trPr>
          <w:trHeight w:val="198"/>
        </w:trPr>
        <w:tc>
          <w:tcPr>
            <w:tcW w:w="37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Date</w:t>
            </w:r>
          </w:p>
        </w:tc>
        <w:tc>
          <w:tcPr>
            <w:tcW w:w="18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8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Steven M. Helmbrecht</w:t>
            </w:r>
          </w:p>
        </w:tc>
      </w:tr>
      <w:tr>
        <w:trPr>
          <w:trHeight w:val="234"/>
        </w:trPr>
        <w:tc>
          <w:tcPr>
            <w:tcW w:w="37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Arial" w:cs="Arial" w:eastAsia="Arial" w:hAnsi="Arial"/>
                <w:sz w:val="18"/>
                <w:szCs w:val="18"/>
                <w:b w:val="1"/>
                <w:bCs w:val="1"/>
                <w:color w:val="auto"/>
                <w:w w:val="91"/>
              </w:rPr>
              <w:t>Sr. Vice President and Chief Financial Officer</w:t>
            </w:r>
          </w:p>
        </w:tc>
      </w:tr>
      <w:tr>
        <w:trPr>
          <w:trHeight w:val="459"/>
        </w:trPr>
        <w:tc>
          <w:tcPr>
            <w:tcW w:w="37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40" w:type="dxa"/>
            <w:vAlign w:val="bottom"/>
          </w:tcPr>
          <w:p>
            <w:pPr>
              <w:jc w:val="right"/>
              <w:ind w:right="5530"/>
              <w:spacing w:after="0"/>
              <w:rPr>
                <w:sz w:val="20"/>
                <w:szCs w:val="20"/>
                <w:color w:val="auto"/>
              </w:rPr>
            </w:pPr>
            <w:r>
              <w:rPr>
                <w:rFonts w:ascii="Arial" w:cs="Arial" w:eastAsia="Arial" w:hAnsi="Arial"/>
                <w:sz w:val="18"/>
                <w:szCs w:val="18"/>
                <w:color w:val="auto"/>
                <w:w w:val="99"/>
              </w:rPr>
              <w:t>48</w:t>
            </w:r>
          </w:p>
        </w:tc>
      </w:tr>
      <w:tr>
        <w:trPr>
          <w:trHeight w:val="118"/>
        </w:trPr>
        <w:tc>
          <w:tcPr>
            <w:tcW w:w="3740" w:type="dxa"/>
            <w:vAlign w:val="bottom"/>
            <w:tcBorders>
              <w:bottom w:val="single" w:sz="8" w:color="808080"/>
            </w:tcBorders>
          </w:tcPr>
          <w:p>
            <w:pPr>
              <w:spacing w:after="0"/>
              <w:rPr>
                <w:sz w:val="10"/>
                <w:szCs w:val="10"/>
                <w:color w:val="auto"/>
              </w:rPr>
            </w:pPr>
          </w:p>
        </w:tc>
        <w:tc>
          <w:tcPr>
            <w:tcW w:w="180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58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12.1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RE COMPUTATION OF RATIOS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September 30, 2009</w:t>
            </w:r>
          </w:p>
        </w:tc>
        <w:tc>
          <w:tcPr>
            <w:tcW w:w="140" w:type="dxa"/>
            <w:vAlign w:val="bottom"/>
            <w:gridSpan w:val="2"/>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2005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80" w:type="dxa"/>
            <w:vAlign w:val="bottom"/>
            <w:gridSpan w:val="9"/>
          </w:tcPr>
          <w:p>
            <w:pPr>
              <w:jc w:val="right"/>
              <w:ind w:right="540"/>
              <w:spacing w:after="0"/>
              <w:rPr>
                <w:sz w:val="20"/>
                <w:szCs w:val="20"/>
                <w:color w:val="auto"/>
              </w:rPr>
            </w:pPr>
            <w:r>
              <w:rPr>
                <w:rFonts w:ascii="Arial" w:cs="Arial" w:eastAsia="Arial" w:hAnsi="Arial"/>
                <w:sz w:val="18"/>
                <w:szCs w:val="18"/>
                <w:b w:val="1"/>
                <w:bCs w:val="1"/>
                <w:color w:val="auto"/>
              </w:rPr>
              <w:t>(in thousands, except ratios)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0"/>
        </w:trPr>
        <w:tc>
          <w:tcPr>
            <w:tcW w:w="3100" w:type="dxa"/>
            <w:vAlign w:val="bottom"/>
          </w:tcPr>
          <w:p>
            <w:pPr>
              <w:spacing w:after="0"/>
              <w:rPr>
                <w:sz w:val="20"/>
                <w:szCs w:val="20"/>
                <w:color w:val="auto"/>
              </w:rPr>
            </w:pPr>
            <w:r>
              <w:rPr>
                <w:rFonts w:ascii="Arial" w:cs="Arial" w:eastAsia="Arial" w:hAnsi="Arial"/>
                <w:sz w:val="18"/>
                <w:szCs w:val="18"/>
                <w:color w:val="auto"/>
              </w:rPr>
              <w:t>Earnings: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460"/>
              <w:spacing w:after="0" w:line="216" w:lineRule="exact"/>
              <w:rPr>
                <w:sz w:val="20"/>
                <w:szCs w:val="20"/>
                <w:color w:val="auto"/>
              </w:rPr>
            </w:pPr>
            <w:r>
              <w:rPr>
                <w:rFonts w:ascii="Arial" w:cs="Arial" w:eastAsia="Arial" w:hAnsi="Arial"/>
                <w:sz w:val="18"/>
                <w:szCs w:val="18"/>
                <w:color w:val="auto"/>
              </w:rPr>
              <w:t>Pre-tax income (loss)</w:t>
            </w:r>
            <w:r>
              <w:rPr>
                <w:rFonts w:ascii="Arial" w:cs="Arial" w:eastAsia="Arial" w:hAnsi="Arial"/>
                <w:sz w:val="25"/>
                <w:szCs w:val="25"/>
                <w:color w:val="auto"/>
                <w:vertAlign w:val="superscript"/>
              </w:rPr>
              <w:t>(5)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(44,919)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18,582</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(43,550)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47,594</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27,528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(9,406)</w:t>
            </w:r>
          </w:p>
        </w:tc>
        <w:tc>
          <w:tcPr>
            <w:tcW w:w="0" w:type="dxa"/>
            <w:vAlign w:val="bottom"/>
          </w:tcPr>
          <w:p>
            <w:pPr>
              <w:spacing w:after="0"/>
              <w:rPr>
                <w:sz w:val="1"/>
                <w:szCs w:val="1"/>
                <w:color w:val="auto"/>
              </w:rPr>
            </w:pPr>
          </w:p>
        </w:tc>
      </w:tr>
      <w:tr>
        <w:trPr>
          <w:trHeight w:val="237"/>
        </w:trPr>
        <w:tc>
          <w:tcPr>
            <w:tcW w:w="3100" w:type="dxa"/>
            <w:vAlign w:val="bottom"/>
          </w:tcPr>
          <w:p>
            <w:pPr>
              <w:ind w:left="460"/>
              <w:spacing w:after="0"/>
              <w:rPr>
                <w:sz w:val="20"/>
                <w:szCs w:val="20"/>
                <w:color w:val="auto"/>
              </w:rPr>
            </w:pPr>
            <w:r>
              <w:rPr>
                <w:rFonts w:ascii="Arial" w:cs="Arial" w:eastAsia="Arial" w:hAnsi="Arial"/>
                <w:sz w:val="18"/>
                <w:szCs w:val="18"/>
                <w:color w:val="auto"/>
                <w:w w:val="93"/>
              </w:rPr>
              <w:t>Less: income from equity investees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(45,009)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18,489</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(43,908)</w:t>
            </w:r>
          </w:p>
        </w:tc>
        <w:tc>
          <w:tcPr>
            <w:tcW w:w="1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47,561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3100" w:type="dxa"/>
            <w:vAlign w:val="bottom"/>
          </w:tcPr>
          <w:p>
            <w:pPr>
              <w:spacing w:after="0"/>
              <w:rPr>
                <w:sz w:val="20"/>
                <w:szCs w:val="20"/>
                <w:color w:val="auto"/>
              </w:rPr>
            </w:pPr>
            <w:r>
              <w:rPr>
                <w:rFonts w:ascii="Arial" w:cs="Arial" w:eastAsia="Arial" w:hAnsi="Arial"/>
                <w:sz w:val="18"/>
                <w:szCs w:val="18"/>
                <w:color w:val="auto"/>
              </w:rPr>
              <w:t xml:space="preserve">Fixed charges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460"/>
              <w:spacing w:after="0" w:line="216" w:lineRule="exact"/>
              <w:rPr>
                <w:sz w:val="20"/>
                <w:szCs w:val="20"/>
                <w:color w:val="auto"/>
              </w:rPr>
            </w:pPr>
            <w:r>
              <w:rPr>
                <w:rFonts w:ascii="Arial" w:cs="Arial" w:eastAsia="Arial" w:hAnsi="Arial"/>
                <w:sz w:val="18"/>
                <w:szCs w:val="18"/>
                <w:color w:val="auto"/>
              </w:rPr>
              <w:t xml:space="preserve">Interest expense, gross </w:t>
            </w:r>
            <w:r>
              <w:rPr>
                <w:rFonts w:ascii="Arial" w:cs="Arial" w:eastAsia="Arial" w:hAnsi="Arial"/>
                <w:sz w:val="25"/>
                <w:szCs w:val="25"/>
                <w:color w:val="auto"/>
                <w:vertAlign w:val="superscript"/>
              </w:rPr>
              <w:t>(2) (5)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53,319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94,177</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100,935</w:t>
            </w:r>
          </w:p>
        </w:tc>
        <w:tc>
          <w:tcPr>
            <w:tcW w:w="24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22,426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18,944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13,145</w:t>
            </w:r>
          </w:p>
        </w:tc>
        <w:tc>
          <w:tcPr>
            <w:tcW w:w="0" w:type="dxa"/>
            <w:vAlign w:val="bottom"/>
          </w:tcPr>
          <w:p>
            <w:pPr>
              <w:spacing w:after="0"/>
              <w:rPr>
                <w:sz w:val="1"/>
                <w:szCs w:val="1"/>
                <w:color w:val="auto"/>
              </w:rPr>
            </w:pPr>
          </w:p>
        </w:tc>
      </w:tr>
      <w:tr>
        <w:trPr>
          <w:trHeight w:val="230"/>
        </w:trPr>
        <w:tc>
          <w:tcPr>
            <w:tcW w:w="3100" w:type="dxa"/>
            <w:vAlign w:val="bottom"/>
          </w:tcPr>
          <w:p>
            <w:pPr>
              <w:ind w:left="460"/>
              <w:spacing w:after="0"/>
              <w:rPr>
                <w:sz w:val="20"/>
                <w:szCs w:val="20"/>
                <w:color w:val="auto"/>
              </w:rPr>
            </w:pPr>
            <w:r>
              <w:rPr>
                <w:rFonts w:ascii="Arial" w:cs="Arial" w:eastAsia="Arial" w:hAnsi="Arial"/>
                <w:sz w:val="18"/>
                <w:szCs w:val="18"/>
                <w:color w:val="auto"/>
              </w:rPr>
              <w:t>Interest portion of rent expense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3,874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5,163</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4,098</w:t>
            </w:r>
          </w:p>
        </w:tc>
        <w:tc>
          <w:tcPr>
            <w:tcW w:w="2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2,241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2,512</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a) Fixed charges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57,193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99,340</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105,033</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24,667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21,456</w:t>
            </w: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15,841</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72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 xml:space="preserve">b) Earnings for ratio </w:t>
            </w:r>
            <w:r>
              <w:rPr>
                <w:rFonts w:ascii="Arial" w:cs="Arial" w:eastAsia="Arial" w:hAnsi="Arial"/>
                <w:sz w:val="25"/>
                <w:szCs w:val="25"/>
                <w:color w:val="auto"/>
                <w:vertAlign w:val="superscript"/>
              </w:rPr>
              <w:t>(3)</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12,184</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117,829</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61,125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72,228</w:t>
            </w: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48,902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6,435</w:t>
            </w:r>
          </w:p>
        </w:tc>
        <w:tc>
          <w:tcPr>
            <w:tcW w:w="0" w:type="dxa"/>
            <w:vAlign w:val="bottom"/>
          </w:tcPr>
          <w:p>
            <w:pPr>
              <w:spacing w:after="0"/>
              <w:rPr>
                <w:sz w:val="1"/>
                <w:szCs w:val="1"/>
                <w:color w:val="auto"/>
              </w:rPr>
            </w:pPr>
          </w:p>
        </w:tc>
      </w:tr>
      <w:tr>
        <w:trPr>
          <w:trHeight w:val="21"/>
        </w:trPr>
        <w:tc>
          <w:tcPr>
            <w:tcW w:w="3100" w:type="dxa"/>
            <w:vAlign w:val="bottom"/>
            <w:vMerge w:val="restart"/>
          </w:tcPr>
          <w:p>
            <w:pPr>
              <w:spacing w:after="0"/>
              <w:rPr>
                <w:sz w:val="20"/>
                <w:szCs w:val="20"/>
                <w:color w:val="auto"/>
              </w:rPr>
            </w:pPr>
            <w:r>
              <w:rPr>
                <w:rFonts w:ascii="Arial" w:cs="Arial" w:eastAsia="Arial" w:hAnsi="Arial"/>
                <w:sz w:val="18"/>
                <w:szCs w:val="18"/>
                <w:color w:val="auto"/>
              </w:rPr>
              <w:t>Ratios:</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1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100" w:type="dxa"/>
            <w:vAlign w:val="bottom"/>
          </w:tcPr>
          <w:p>
            <w:pPr>
              <w:ind w:left="460"/>
              <w:spacing w:after="0"/>
              <w:rPr>
                <w:sz w:val="20"/>
                <w:szCs w:val="20"/>
                <w:color w:val="auto"/>
              </w:rPr>
            </w:pPr>
            <w:r>
              <w:rPr>
                <w:rFonts w:ascii="Arial" w:cs="Arial" w:eastAsia="Arial" w:hAnsi="Arial"/>
                <w:sz w:val="18"/>
                <w:szCs w:val="18"/>
                <w:color w:val="auto"/>
              </w:rPr>
              <w:t xml:space="preserve">Earnings to fixed charges </w:t>
            </w:r>
            <w:r>
              <w:rPr>
                <w:rFonts w:ascii="Arial" w:cs="Arial" w:eastAsia="Arial" w:hAnsi="Arial"/>
                <w:sz w:val="25"/>
                <w:szCs w:val="25"/>
                <w:color w:val="auto"/>
                <w:vertAlign w:val="superscript"/>
              </w:rPr>
              <w:t>(b/a)</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(4)</w:t>
            </w: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(4)</w:t>
            </w:r>
          </w:p>
        </w:tc>
        <w:tc>
          <w:tcPr>
            <w:tcW w:w="24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334"/>
        </w:trPr>
        <w:tc>
          <w:tcPr>
            <w:tcW w:w="3100" w:type="dxa"/>
            <w:vAlign w:val="bottom"/>
          </w:tcPr>
          <w:p>
            <w:pPr>
              <w:spacing w:after="0"/>
              <w:rPr>
                <w:sz w:val="20"/>
                <w:szCs w:val="20"/>
                <w:color w:val="auto"/>
              </w:rPr>
            </w:pPr>
            <w:r>
              <w:rPr>
                <w:rFonts w:ascii="Arial" w:cs="Arial" w:eastAsia="Arial" w:hAnsi="Arial"/>
                <w:sz w:val="18"/>
                <w:szCs w:val="18"/>
                <w:color w:val="auto"/>
              </w:rPr>
              <w:t>Deficit of earnings to fixed charges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3"/>
          </w:tcPr>
          <w:p>
            <w:pPr>
              <w:jc w:val="right"/>
              <w:ind w:right="80"/>
              <w:spacing w:after="0"/>
              <w:rPr>
                <w:sz w:val="20"/>
                <w:szCs w:val="20"/>
                <w:color w:val="auto"/>
              </w:rPr>
            </w:pPr>
            <w:r>
              <w:rPr>
                <w:rFonts w:ascii="Arial" w:cs="Arial" w:eastAsia="Arial" w:hAnsi="Arial"/>
                <w:sz w:val="18"/>
                <w:szCs w:val="18"/>
                <w:color w:val="auto"/>
              </w:rPr>
              <w:t>(45,009)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(43,908)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(9,406)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hanging="240"/>
        <w:spacing w:after="0" w:line="21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Fixed charges consist of interest on indebtedness and amortization of debt issuance costs plus that portion of lease rental expense representative of the interest factor.</w:t>
      </w:r>
    </w:p>
    <w:p>
      <w:pPr>
        <w:spacing w:after="0" w:line="1" w:lineRule="exact"/>
        <w:rPr>
          <w:rFonts w:ascii="Arial" w:cs="Arial" w:eastAsia="Arial" w:hAnsi="Arial"/>
          <w:sz w:val="25"/>
          <w:szCs w:val="25"/>
          <w:color w:val="auto"/>
          <w:vertAlign w:val="superscript"/>
        </w:rPr>
      </w:pPr>
    </w:p>
    <w:p>
      <w:pPr>
        <w:ind w:left="660" w:hanging="240"/>
        <w:spacing w:after="0" w:line="180"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Interest expense, gross, includes amortization of prepaid debt fees and discount.</w:t>
      </w:r>
    </w:p>
    <w:p>
      <w:pPr>
        <w:spacing w:after="0" w:line="2" w:lineRule="exact"/>
        <w:rPr>
          <w:rFonts w:ascii="Arial" w:cs="Arial" w:eastAsia="Arial" w:hAnsi="Arial"/>
          <w:sz w:val="25"/>
          <w:szCs w:val="25"/>
          <w:color w:val="auto"/>
          <w:vertAlign w:val="superscript"/>
        </w:rPr>
      </w:pPr>
    </w:p>
    <w:p>
      <w:pPr>
        <w:ind w:left="660" w:right="20" w:hanging="240"/>
        <w:spacing w:after="0" w:line="208"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Earnings for ratio consist of income (loss) from continuing operations before income taxes, less income (loss) from equity investees, plus fixed charges.</w:t>
      </w:r>
    </w:p>
    <w:p>
      <w:pPr>
        <w:spacing w:after="0" w:line="1" w:lineRule="exact"/>
        <w:rPr>
          <w:rFonts w:ascii="Arial" w:cs="Arial" w:eastAsia="Arial" w:hAnsi="Arial"/>
          <w:sz w:val="25"/>
          <w:szCs w:val="25"/>
          <w:color w:val="auto"/>
          <w:vertAlign w:val="superscript"/>
        </w:rPr>
      </w:pPr>
    </w:p>
    <w:p>
      <w:pPr>
        <w:jc w:val="both"/>
        <w:ind w:left="660" w:hanging="240"/>
        <w:spacing w:after="0" w:line="221"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Due to Itron's losses in the nine months ended September 30, 2009, and the years ended December 31, 2007 and 2004, the coverage ratio was less than 1:1. Additional earnings of $45,009, $43,908, and $9,406 would have been needed to achieve a coverage ratio of 1:1 in each of those respective periods.</w:t>
      </w:r>
    </w:p>
    <w:p>
      <w:pPr>
        <w:spacing w:after="0" w:line="2" w:lineRule="exact"/>
        <w:rPr>
          <w:rFonts w:ascii="Arial" w:cs="Arial" w:eastAsia="Arial" w:hAnsi="Arial"/>
          <w:sz w:val="25"/>
          <w:szCs w:val="25"/>
          <w:color w:val="auto"/>
          <w:vertAlign w:val="superscript"/>
        </w:rPr>
      </w:pPr>
    </w:p>
    <w:p>
      <w:pPr>
        <w:jc w:val="both"/>
        <w:ind w:left="660" w:hanging="240"/>
        <w:spacing w:after="0" w:line="228"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On January 1, 2009, we adopted FSP 14-1 and applied it retrospectively to all periods for which our convertible notes was outstanding. Our convertible notes were issued in August 2006. Therefore, pre-tax income (loss) and interest expense, gross reflect this restatement beginning in the year ended December 31, 2006. Refer to Note 1 of the condensed consolidated financial statements for further disclosure of the adoption of FSP 14-1.</w:t>
      </w:r>
    </w:p>
    <w:p>
      <w:pPr>
        <w:sectPr>
          <w:pgSz w:w="11900" w:h="16838" w:orient="portrait"/>
          <w:cols w:equalWidth="0" w:num="1">
            <w:col w:w="11420"/>
          </w:cols>
          <w:pgMar w:left="240" w:top="36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Malcolm Unsworth, certify that:</w:t>
      </w:r>
    </w:p>
    <w:p>
      <w:pPr>
        <w:spacing w:after="0" w:line="225" w:lineRule="exact"/>
        <w:rPr>
          <w:sz w:val="20"/>
          <w:szCs w:val="20"/>
          <w:color w:val="auto"/>
        </w:rPr>
      </w:pPr>
    </w:p>
    <w:p>
      <w:pPr>
        <w:ind w:left="920" w:hanging="480"/>
        <w:spacing w:after="0"/>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920" w:hanging="480"/>
        <w:spacing w:after="0" w:line="264"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20" w:hanging="480"/>
        <w:spacing w:after="0" w:line="308"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hanging="480"/>
        <w:spacing w:after="0" w:line="264" w:lineRule="auto"/>
        <w:tabs>
          <w:tab w:leader="none" w:pos="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20" w:right="20" w:hanging="480"/>
        <w:spacing w:after="0" w:line="264" w:lineRule="auto"/>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20" w:hanging="480"/>
        <w:spacing w:after="0" w:line="264" w:lineRule="auto"/>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920" w:hanging="480"/>
        <w:spacing w:after="0" w:line="308"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jc w:val="both"/>
        <w:ind w:left="1920" w:right="20" w:hanging="480"/>
        <w:spacing w:after="0" w:line="342" w:lineRule="auto"/>
        <w:tabs>
          <w:tab w:leader="none" w:pos="19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20" w:right="20" w:hanging="480"/>
        <w:spacing w:after="0" w:line="277" w:lineRule="auto"/>
        <w:tabs>
          <w:tab w:leader="none" w:pos="19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600"/>
        <w:spacing w:after="0"/>
        <w:tabs>
          <w:tab w:leader="none" w:pos="8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MALCOLM UNSWORTH</w:t>
      </w:r>
    </w:p>
    <w:p>
      <w:pPr>
        <w:spacing w:after="0" w:line="32"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Malcolm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President,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2009</w:t>
      </w:r>
    </w:p>
    <w:p>
      <w:pPr>
        <w:sectPr>
          <w:pgSz w:w="11900" w:h="16838" w:orient="portrait"/>
          <w:cols w:equalWidth="0" w:num="1">
            <w:col w:w="11420"/>
          </w:cols>
          <w:pgMar w:left="240" w:top="36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225" w:lineRule="exact"/>
        <w:rPr>
          <w:sz w:val="20"/>
          <w:szCs w:val="20"/>
          <w:color w:val="auto"/>
        </w:rPr>
      </w:pPr>
    </w:p>
    <w:p>
      <w:pPr>
        <w:ind w:left="920" w:hanging="480"/>
        <w:spacing w:after="0"/>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Itron, Inc.;</w:t>
      </w:r>
    </w:p>
    <w:p>
      <w:pPr>
        <w:spacing w:after="0" w:line="225" w:lineRule="exact"/>
        <w:rPr>
          <w:rFonts w:ascii="Arial" w:cs="Arial" w:eastAsia="Arial" w:hAnsi="Arial"/>
          <w:sz w:val="18"/>
          <w:szCs w:val="18"/>
          <w:color w:val="auto"/>
        </w:rPr>
      </w:pPr>
    </w:p>
    <w:p>
      <w:pPr>
        <w:jc w:val="both"/>
        <w:ind w:left="920" w:hanging="480"/>
        <w:spacing w:after="0" w:line="264"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20" w:hanging="480"/>
        <w:spacing w:after="0" w:line="308"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920" w:hanging="480"/>
        <w:spacing w:after="0" w:line="264" w:lineRule="auto"/>
        <w:tabs>
          <w:tab w:leader="none" w:pos="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jc w:val="both"/>
        <w:ind w:left="1920" w:right="20" w:hanging="480"/>
        <w:spacing w:after="0" w:line="264"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920" w:hanging="480"/>
        <w:spacing w:after="0" w:line="264"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920" w:hanging="480"/>
        <w:spacing w:after="0" w:line="286" w:lineRule="auto"/>
        <w:tabs>
          <w:tab w:leader="none" w:pos="19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920" w:hanging="480"/>
        <w:spacing w:after="0" w:line="308" w:lineRule="auto"/>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jc w:val="both"/>
        <w:ind w:left="1920" w:right="20" w:hanging="480"/>
        <w:spacing w:after="0" w:line="342" w:lineRule="auto"/>
        <w:tabs>
          <w:tab w:leader="none" w:pos="19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920" w:right="20" w:hanging="480"/>
        <w:spacing w:after="0" w:line="277" w:lineRule="auto"/>
        <w:tabs>
          <w:tab w:leader="none" w:pos="19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6600"/>
        <w:spacing w:after="0"/>
        <w:tabs>
          <w:tab w:leader="none" w:pos="7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32"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-127635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2009</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Quarterly Report of Itron, Inc. (the Company) on Form 10-Q for the quarterly period ended September 30, 2009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Malcolm Unsworth, the Chief Executive Officer and Steven M. Helmbrecht, the Chief Financial Officer of the Company, each certifies that to the best of his knowledge:</w:t>
      </w:r>
    </w:p>
    <w:p>
      <w:pPr>
        <w:spacing w:after="0" w:line="170" w:lineRule="exact"/>
        <w:rPr>
          <w:sz w:val="20"/>
          <w:szCs w:val="20"/>
          <w:color w:val="auto"/>
        </w:rPr>
      </w:pPr>
    </w:p>
    <w:p>
      <w:pPr>
        <w:ind w:left="920" w:hanging="480"/>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480"/>
        <w:spacing w:after="0"/>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 MALCOLM UNSWORTH</w:t>
      </w:r>
    </w:p>
    <w:p>
      <w:pPr>
        <w:spacing w:after="0" w:line="32"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Malcolm Unsworth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President, Chief Executive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November 2, 2009</w:t>
      </w:r>
    </w:p>
    <w:p>
      <w:pPr>
        <w:spacing w:after="0" w:line="200" w:lineRule="exact"/>
        <w:rPr>
          <w:sz w:val="20"/>
          <w:szCs w:val="20"/>
          <w:color w:val="auto"/>
        </w:rPr>
      </w:pPr>
    </w:p>
    <w:p>
      <w:pPr>
        <w:spacing w:after="0" w:line="28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 STEVEN M. HELMBRECHT</w:t>
      </w:r>
    </w:p>
    <w:p>
      <w:pPr>
        <w:spacing w:after="0" w:line="32"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9" w:lineRule="exact"/>
        <w:rPr>
          <w:sz w:val="20"/>
          <w:szCs w:val="20"/>
          <w:color w:val="auto"/>
        </w:rPr>
      </w:pPr>
    </w:p>
    <w:p>
      <w:pPr>
        <w:jc w:val="center"/>
        <w:ind w:right="6840"/>
        <w:spacing w:after="0"/>
        <w:rPr>
          <w:sz w:val="20"/>
          <w:szCs w:val="20"/>
          <w:color w:val="auto"/>
        </w:rPr>
      </w:pPr>
      <w:r>
        <w:rPr>
          <w:rFonts w:ascii="Arial" w:cs="Arial" w:eastAsia="Arial" w:hAnsi="Arial"/>
          <w:sz w:val="18"/>
          <w:szCs w:val="18"/>
          <w:b w:val="1"/>
          <w:bCs w:val="1"/>
          <w:color w:val="auto"/>
        </w:rPr>
        <w:t>November 2, 2009</w:t>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o"/>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lowerLetter"/>
      <w:start w:val="1"/>
    </w:lvl>
    <w:lvl w:ilvl="1">
      <w:lvlJc w:val="left"/>
      <w:lvlText w:val="(%2)"/>
      <w:numFmt w:val="lowerLetter"/>
      <w:start w:val="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2019-12-10T05:09:21Z</dcterms:created>
  <dcterms:modified xsi:type="dcterms:W3CDTF">2019-12-10T05:09:21Z</dcterms:modified>
</cp:coreProperties>
</file>