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b w:val="1"/>
          <w:bCs w:val="1"/>
          <w:color w:val="auto"/>
        </w:rPr>
        <w:t>As filed with the Securities and Exchange Commission on April 6, 2009.</w:t>
      </w:r>
    </w:p>
    <w:p>
      <w:pPr>
        <w:spacing w:after="0" w:line="50" w:lineRule="exact"/>
        <w:rPr>
          <w:sz w:val="24"/>
          <w:szCs w:val="24"/>
          <w:color w:val="auto"/>
        </w:rPr>
      </w:pPr>
    </w:p>
    <w:p>
      <w:pPr>
        <w:ind w:left="95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ITRON,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472" w:right="279" w:bottom="0" w:gutter="0" w:footer="0" w:header="0"/>
        </w:sectPr>
      </w:pPr>
    </w:p>
    <w:p>
      <w:pPr>
        <w:spacing w:after="0" w:line="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Washington</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b w:val="1"/>
          <w:bCs w:val="1"/>
          <w:color w:val="auto"/>
        </w:rPr>
        <w:t>91-1011792</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Identification Number)</w:t>
      </w:r>
    </w:p>
    <w:p>
      <w:pPr>
        <w:spacing w:after="0" w:line="32" w:lineRule="exact"/>
        <w:rPr>
          <w:sz w:val="24"/>
          <w:szCs w:val="24"/>
          <w:color w:val="auto"/>
        </w:rPr>
      </w:pPr>
    </w:p>
    <w:p>
      <w:pPr>
        <w:sectPr>
          <w:pgSz w:w="11900" w:h="16838" w:orient="portrait"/>
          <w:cols w:equalWidth="0" w:num="2">
            <w:col w:w="7920" w:space="720"/>
            <w:col w:w="2740"/>
          </w:cols>
          <w:pgMar w:left="240" w:top="472" w:right="279" w:bottom="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228600</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1201 Third Avenue, Suite 4800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(206) 359-8000</w:t>
      </w:r>
    </w:p>
    <w:p>
      <w:pPr>
        <w:spacing w:after="0" w:line="234" w:lineRule="exact"/>
        <w:rPr>
          <w:sz w:val="24"/>
          <w:szCs w:val="24"/>
          <w:color w:val="auto"/>
        </w:rPr>
      </w:pPr>
    </w:p>
    <w:p>
      <w:pPr>
        <w:ind w:right="560" w:firstLine="324"/>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market conditions and other factors.</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70" w:lineRule="exact"/>
        <w:rPr>
          <w:sz w:val="24"/>
          <w:szCs w:val="24"/>
          <w:color w:val="auto"/>
        </w:rPr>
      </w:pPr>
    </w:p>
    <w:p>
      <w:pPr>
        <w:ind w:right="180" w:firstLine="324"/>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4"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9" w:lineRule="exact"/>
        <w:rPr>
          <w:sz w:val="24"/>
          <w:szCs w:val="24"/>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10"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of 1933, check the following box. x</w:t>
      </w:r>
    </w:p>
    <w:p>
      <w:pPr>
        <w:spacing w:after="0" w:line="197" w:lineRule="exact"/>
        <w:rPr>
          <w:sz w:val="24"/>
          <w:szCs w:val="24"/>
          <w:color w:val="auto"/>
        </w:rPr>
      </w:pPr>
    </w:p>
    <w:p>
      <w:pPr>
        <w:ind w:right="260" w:firstLine="324"/>
        <w:spacing w:after="0" w:line="224"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firstLine="324"/>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7" w:lineRule="exact"/>
        <w:rPr>
          <w:sz w:val="24"/>
          <w:szCs w:val="24"/>
          <w:color w:val="auto"/>
        </w:rPr>
      </w:pPr>
    </w:p>
    <w:p>
      <w:pPr>
        <w:ind w:left="540"/>
        <w:spacing w:after="0" w:line="207" w:lineRule="exact"/>
        <w:tabs>
          <w:tab w:leader="none" w:pos="3560" w:val="left"/>
          <w:tab w:leader="none" w:pos="6220" w:val="left"/>
          <w:tab w:leader="none" w:pos="88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80"/>
          </w:cols>
          <w:pgMar w:left="240" w:top="472"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4"/>
          </w:tcPr>
          <w:p>
            <w:pPr>
              <w:jc w:val="center"/>
              <w:ind w:right="695"/>
              <w:spacing w:after="0"/>
              <w:rPr>
                <w:sz w:val="20"/>
                <w:szCs w:val="20"/>
                <w:color w:val="auto"/>
              </w:rPr>
            </w:pPr>
            <w:r>
              <w:rPr>
                <w:rFonts w:ascii="Arial" w:cs="Arial" w:eastAsia="Arial" w:hAnsi="Arial"/>
                <w:sz w:val="18"/>
                <w:szCs w:val="18"/>
                <w:color w:val="auto"/>
                <w:w w:val="92"/>
              </w:rPr>
              <w:t>(Do not check if a smaller reporting</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company)</w:t>
            </w: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94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60" w:type="dxa"/>
            <w:vAlign w:val="bottom"/>
            <w:gridSpan w:val="4"/>
          </w:tcPr>
          <w:p>
            <w:pPr>
              <w:ind w:left="28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Proposed Maximum</w:t>
            </w:r>
          </w:p>
        </w:tc>
        <w:tc>
          <w:tcPr>
            <w:tcW w:w="60" w:type="dxa"/>
            <w:vAlign w:val="bottom"/>
          </w:tcPr>
          <w:p>
            <w:pPr>
              <w:spacing w:after="0"/>
              <w:rPr>
                <w:sz w:val="17"/>
                <w:szCs w:val="17"/>
                <w:color w:val="auto"/>
              </w:rPr>
            </w:pPr>
          </w:p>
        </w:tc>
        <w:tc>
          <w:tcPr>
            <w:tcW w:w="2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Proposed Maximum</w:t>
            </w:r>
          </w:p>
        </w:tc>
        <w:tc>
          <w:tcPr>
            <w:tcW w:w="240" w:type="dxa"/>
            <w:vAlign w:val="bottom"/>
          </w:tcPr>
          <w:p>
            <w:pPr>
              <w:spacing w:after="0"/>
              <w:rPr>
                <w:sz w:val="17"/>
                <w:szCs w:val="17"/>
                <w:color w:val="auto"/>
              </w:rPr>
            </w:pPr>
          </w:p>
        </w:tc>
        <w:tc>
          <w:tcPr>
            <w:tcW w:w="15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Amount</w:t>
            </w:r>
          </w:p>
        </w:tc>
      </w:tr>
      <w:tr>
        <w:trPr>
          <w:trHeight w:val="216"/>
        </w:trPr>
        <w:tc>
          <w:tcPr>
            <w:tcW w:w="20" w:type="dxa"/>
            <w:vAlign w:val="bottom"/>
          </w:tcPr>
          <w:p>
            <w:pPr>
              <w:spacing w:after="0"/>
              <w:rPr>
                <w:sz w:val="18"/>
                <w:szCs w:val="18"/>
                <w:color w:val="auto"/>
              </w:rPr>
            </w:pPr>
          </w:p>
        </w:tc>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Title of Each Class of Securities to Be</w:t>
            </w:r>
          </w:p>
        </w:tc>
        <w:tc>
          <w:tcPr>
            <w:tcW w:w="1520" w:type="dxa"/>
            <w:vAlign w:val="bottom"/>
          </w:tcPr>
          <w:p>
            <w:pPr>
              <w:ind w:left="220"/>
              <w:spacing w:after="0"/>
              <w:rPr>
                <w:sz w:val="20"/>
                <w:szCs w:val="20"/>
                <w:color w:val="auto"/>
              </w:rPr>
            </w:pPr>
            <w:r>
              <w:rPr>
                <w:rFonts w:ascii="Arial" w:cs="Arial" w:eastAsia="Arial" w:hAnsi="Arial"/>
                <w:sz w:val="18"/>
                <w:szCs w:val="18"/>
                <w:b w:val="1"/>
                <w:bCs w:val="1"/>
                <w:color w:val="auto"/>
              </w:rPr>
              <w:t>Amount to Be</w:t>
            </w:r>
          </w:p>
        </w:tc>
        <w:tc>
          <w:tcPr>
            <w:tcW w:w="24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Offering Price Per Unit</w:t>
            </w:r>
          </w:p>
        </w:tc>
        <w:tc>
          <w:tcPr>
            <w:tcW w:w="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Aggregate Offering Price</w:t>
            </w:r>
          </w:p>
        </w:tc>
        <w:tc>
          <w:tcPr>
            <w:tcW w:w="2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b w:val="1"/>
                <w:bCs w:val="1"/>
                <w:color w:val="auto"/>
                <w:w w:val="91"/>
              </w:rPr>
              <w:t>of Registration Fee</w:t>
            </w:r>
          </w:p>
        </w:tc>
      </w:tr>
      <w:tr>
        <w:trPr>
          <w:trHeight w:val="234"/>
        </w:trPr>
        <w:tc>
          <w:tcPr>
            <w:tcW w:w="20" w:type="dxa"/>
            <w:vAlign w:val="bottom"/>
          </w:tcPr>
          <w:p>
            <w:pPr>
              <w:spacing w:after="0"/>
              <w:rPr>
                <w:sz w:val="20"/>
                <w:szCs w:val="20"/>
                <w:color w:val="auto"/>
              </w:rPr>
            </w:pPr>
          </w:p>
        </w:tc>
        <w:tc>
          <w:tcPr>
            <w:tcW w:w="3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Registered</w:t>
            </w: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Registered (2)</w:t>
            </w:r>
          </w:p>
        </w:tc>
        <w:tc>
          <w:tcPr>
            <w:tcW w:w="214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90"/>
              </w:rPr>
              <w:t>(2)</w:t>
            </w: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w:t>
            </w:r>
          </w:p>
        </w:tc>
        <w:tc>
          <w:tcPr>
            <w:tcW w:w="17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(1)</w:t>
            </w:r>
          </w:p>
        </w:tc>
      </w:tr>
      <w:tr>
        <w:trPr>
          <w:trHeight w:val="195"/>
        </w:trPr>
        <w:tc>
          <w:tcPr>
            <w:tcW w:w="2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Common stock, no par value</w:t>
            </w:r>
          </w:p>
        </w:tc>
        <w:tc>
          <w:tcPr>
            <w:tcW w:w="1520" w:type="dxa"/>
            <w:vAlign w:val="bottom"/>
          </w:tcPr>
          <w:p>
            <w:pPr>
              <w:spacing w:after="0"/>
              <w:rPr>
                <w:sz w:val="16"/>
                <w:szCs w:val="16"/>
                <w:color w:val="auto"/>
              </w:rPr>
            </w:pPr>
          </w:p>
        </w:tc>
        <w:tc>
          <w:tcPr>
            <w:tcW w:w="2140" w:type="dxa"/>
            <w:vAlign w:val="bottom"/>
            <w:gridSpan w:val="2"/>
          </w:tcPr>
          <w:p>
            <w:pPr>
              <w:jc w:val="right"/>
              <w:ind w:right="171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100" w:type="dxa"/>
            <w:vAlign w:val="bottom"/>
            <w:gridSpan w:val="2"/>
          </w:tcPr>
          <w:p>
            <w:pPr>
              <w:jc w:val="right"/>
              <w:ind w:right="1875"/>
              <w:spacing w:after="0" w:line="195" w:lineRule="exact"/>
              <w:rPr>
                <w:sz w:val="20"/>
                <w:szCs w:val="20"/>
                <w:color w:val="auto"/>
              </w:rPr>
            </w:pPr>
            <w:r>
              <w:rPr>
                <w:rFonts w:ascii="Arial" w:cs="Arial" w:eastAsia="Arial" w:hAnsi="Arial"/>
                <w:sz w:val="18"/>
                <w:szCs w:val="18"/>
                <w:color w:val="auto"/>
              </w:rPr>
              <w:t>$</w:t>
            </w:r>
          </w:p>
        </w:tc>
        <w:tc>
          <w:tcPr>
            <w:tcW w:w="176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Preferred stock, no par value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Convertible debt securities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Preferred share purchase rights to purchase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shares of Series R Junior Participating</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7"/>
        </w:trPr>
        <w:tc>
          <w:tcPr>
            <w:tcW w:w="3700" w:type="dxa"/>
            <w:vAlign w:val="bottom"/>
            <w:gridSpan w:val="2"/>
          </w:tcPr>
          <w:p>
            <w:pPr>
              <w:spacing w:after="0"/>
              <w:rPr>
                <w:sz w:val="20"/>
                <w:szCs w:val="20"/>
                <w:color w:val="auto"/>
              </w:rPr>
            </w:pPr>
            <w:r>
              <w:rPr>
                <w:rFonts w:ascii="Arial" w:cs="Arial" w:eastAsia="Arial" w:hAnsi="Arial"/>
                <w:sz w:val="18"/>
                <w:szCs w:val="18"/>
                <w:color w:val="auto"/>
              </w:rPr>
              <w:t>Preferred Stock (3)</w:t>
            </w:r>
          </w:p>
        </w:tc>
        <w:tc>
          <w:tcPr>
            <w:tcW w:w="1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875"/>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40" w:hanging="652"/>
        <w:spacing w:after="0" w:line="30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Rules 456(b) and 457(r) under the Securities Act of 1933, the Registrant is deferring payment of all of the registration fee, except for $271 that has already been paid with respect to securities that were previously registered pursuant to the registration statement (No. 333-133026) initially filed by Itron, Inc. on April 6, 2006, and were not sold thereunder on May 6, 2008. The previously paid registration fees will be applied in lieu of a portion of the registration fees due from this registration statement pursuant to Rule 457(p) under the Securities Act of 1933.</w:t>
      </w:r>
    </w:p>
    <w:p>
      <w:pPr>
        <w:spacing w:after="0" w:line="181" w:lineRule="exact"/>
        <w:rPr>
          <w:rFonts w:ascii="Arial" w:cs="Arial" w:eastAsia="Arial" w:hAnsi="Arial"/>
          <w:sz w:val="16"/>
          <w:szCs w:val="16"/>
          <w:color w:val="auto"/>
        </w:rPr>
      </w:pPr>
    </w:p>
    <w:p>
      <w:pPr>
        <w:ind w:left="660" w:right="160" w:hanging="652"/>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or number of the securities of each identified class is being registered as may from time to time be offered at indeterminate prices. Separate consideration may or may not be received for securities that are issuable on exercise, conversion or exchange of other securities or that are issued in units. No separate consideration for the preferred share purchase rights will be received.</w:t>
      </w:r>
    </w:p>
    <w:p>
      <w:pPr>
        <w:spacing w:after="0" w:line="173" w:lineRule="exact"/>
        <w:rPr>
          <w:rFonts w:ascii="Arial" w:cs="Arial" w:eastAsia="Arial" w:hAnsi="Arial"/>
          <w:sz w:val="16"/>
          <w:szCs w:val="16"/>
          <w:color w:val="auto"/>
        </w:rPr>
      </w:pPr>
    </w:p>
    <w:p>
      <w:pPr>
        <w:ind w:left="660" w:right="12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preferred share purchase rights to purchase shares of our Series R Junior Participating Preferred Stock that attached to our common stock under our rights agreement dated as of December 11, 2002 with BNY Mellon Shareowner Services LLC as rights agent, is being registered as may from time to time be attached to an offering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730885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172085</wp:posOffset>
            </wp:positionV>
            <wp:extent cx="84899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99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247015</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Common Stock</w:t>
      </w:r>
    </w:p>
    <w:p>
      <w:pPr>
        <w:jc w:val="center"/>
        <w:ind w:right="-119"/>
        <w:spacing w:after="0" w:line="238" w:lineRule="auto"/>
        <w:rPr>
          <w:sz w:val="20"/>
          <w:szCs w:val="20"/>
          <w:color w:val="auto"/>
        </w:rPr>
      </w:pPr>
      <w:r>
        <w:rPr>
          <w:rFonts w:ascii="Arial" w:cs="Arial" w:eastAsia="Arial" w:hAnsi="Arial"/>
          <w:sz w:val="22"/>
          <w:szCs w:val="22"/>
          <w:color w:val="auto"/>
        </w:rPr>
        <w:t>Preferred Stock</w:t>
      </w:r>
    </w:p>
    <w:p>
      <w:pPr>
        <w:jc w:val="center"/>
        <w:ind w:right="-119"/>
        <w:spacing w:after="0" w:line="230" w:lineRule="auto"/>
        <w:rPr>
          <w:sz w:val="20"/>
          <w:szCs w:val="20"/>
          <w:color w:val="auto"/>
        </w:rPr>
      </w:pPr>
      <w:r>
        <w:rPr>
          <w:rFonts w:ascii="Arial" w:cs="Arial" w:eastAsia="Arial" w:hAnsi="Arial"/>
          <w:sz w:val="22"/>
          <w:szCs w:val="22"/>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Convertible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from time to time, offer to sell common stock, preferred stock, debt securities, or convertible debt securities. We refer to our common stock, preferred stock, and debt securities and convertible debt securities collectively as the "securities." The securities we may offer may be convertible into or exercisable or exchangeable for our other securities. We may offer the securities separately or together, in separate series or classes and in amounts, at prices and on terms that will be determined at the time the securities are offered. In addition, this prospectus may be used to offer securities for the account of persons other than us.</w:t>
      </w:r>
    </w:p>
    <w:p>
      <w:pPr>
        <w:spacing w:after="0" w:line="21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or any selling securityholder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203200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quoted on the Nasdaq Global Select Market under the symbol "ITRI."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Investing in our securities involves risks. See "Risk Factors" on page 1 of this prospectus and in the documents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203200</wp:posOffset>
            </wp:positionV>
            <wp:extent cx="1106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April 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940" w:type="dxa"/>
            <w:vAlign w:val="bottom"/>
            <w:gridSpan w:val="2"/>
          </w:tcPr>
          <w:p>
            <w:pPr>
              <w:jc w:val="right"/>
              <w:ind w:right="4490"/>
              <w:spacing w:after="0"/>
              <w:rPr>
                <w:sz w:val="20"/>
                <w:szCs w:val="20"/>
                <w:color w:val="auto"/>
              </w:rPr>
            </w:pPr>
            <w:r>
              <w:rPr>
                <w:rFonts w:ascii="Arial" w:cs="Arial" w:eastAsia="Arial" w:hAnsi="Arial"/>
                <w:sz w:val="18"/>
                <w:szCs w:val="18"/>
                <w:b w:val="1"/>
                <w:bCs w:val="1"/>
                <w:color w:val="auto"/>
              </w:rPr>
              <w:t>TABLE OF CONTENTS</w:t>
            </w:r>
          </w:p>
        </w:tc>
      </w:tr>
      <w:tr>
        <w:trPr>
          <w:trHeight w:val="46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176"/>
        </w:trPr>
        <w:tc>
          <w:tcPr>
            <w:tcW w:w="2240" w:type="dxa"/>
            <w:vAlign w:val="bottom"/>
            <w:tcBorders>
              <w:bottom w:val="single" w:sz="8" w:color="0000EE"/>
            </w:tcBorders>
            <w:gridSpan w:val="7"/>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2240" w:type="dxa"/>
            <w:vAlign w:val="bottom"/>
            <w:gridSpan w:val="6"/>
          </w:tcPr>
          <w:p>
            <w:pPr>
              <w:spacing w:after="0"/>
              <w:rPr>
                <w:sz w:val="15"/>
                <w:szCs w:val="15"/>
                <w:color w:val="auto"/>
              </w:rPr>
            </w:pPr>
          </w:p>
        </w:tc>
        <w:tc>
          <w:tcPr>
            <w:tcW w:w="6200" w:type="dxa"/>
            <w:vAlign w:val="bottom"/>
          </w:tcPr>
          <w:p>
            <w:pPr>
              <w:spacing w:after="0"/>
              <w:rPr>
                <w:sz w:val="15"/>
                <w:szCs w:val="15"/>
                <w:color w:val="auto"/>
              </w:rPr>
            </w:pPr>
          </w:p>
        </w:tc>
        <w:tc>
          <w:tcPr>
            <w:tcW w:w="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1</w:t>
            </w:r>
          </w:p>
        </w:tc>
      </w:tr>
      <w:tr>
        <w:trPr>
          <w:trHeight w:val="196"/>
        </w:trPr>
        <w:tc>
          <w:tcPr>
            <w:tcW w:w="448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INFORMATION</w:t>
              </w:r>
            </w:hyperlink>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1780" w:type="dxa"/>
            <w:vAlign w:val="bottom"/>
            <w:tcBorders>
              <w:top w:val="single" w:sz="8" w:color="0000EE"/>
            </w:tcBorders>
            <w:gridSpan w:val="7"/>
          </w:tcPr>
          <w:p>
            <w:pPr>
              <w:spacing w:after="0"/>
              <w:rPr>
                <w:sz w:val="17"/>
                <w:szCs w:val="17"/>
                <w:color w:val="auto"/>
              </w:rPr>
            </w:pPr>
          </w:p>
        </w:tc>
        <w:tc>
          <w:tcPr>
            <w:tcW w:w="1440" w:type="dxa"/>
            <w:vAlign w:val="bottom"/>
            <w:gridSpan w:val="3"/>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w:t>
            </w:r>
          </w:p>
        </w:tc>
      </w:tr>
      <w:tr>
        <w:trPr>
          <w:trHeight w:val="196"/>
        </w:trPr>
        <w:tc>
          <w:tcPr>
            <w:tcW w:w="448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WHERE YOU CAN FIND MORE INFORMATION</w:t>
              </w:r>
            </w:hyperlink>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196"/>
        </w:trPr>
        <w:tc>
          <w:tcPr>
            <w:tcW w:w="40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INFORMATION INCORPORATED BY REFERENCE</w:t>
              </w:r>
            </w:hyperlink>
          </w:p>
        </w:tc>
        <w:tc>
          <w:tcPr>
            <w:tcW w:w="440" w:type="dxa"/>
            <w:vAlign w:val="bottom"/>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196"/>
        </w:trPr>
        <w:tc>
          <w:tcPr>
            <w:tcW w:w="448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ITRON, INC.</w:t>
              </w:r>
            </w:hyperlink>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196"/>
        </w:trPr>
        <w:tc>
          <w:tcPr>
            <w:tcW w:w="448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196"/>
        </w:trPr>
        <w:tc>
          <w:tcPr>
            <w:tcW w:w="25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DESCRIPTION OF SECURITIES</w:t>
              </w:r>
            </w:hyperlink>
          </w:p>
        </w:tc>
        <w:tc>
          <w:tcPr>
            <w:tcW w:w="1940" w:type="dxa"/>
            <w:vAlign w:val="bottom"/>
            <w:gridSpan w:val="4"/>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196"/>
        </w:trPr>
        <w:tc>
          <w:tcPr>
            <w:tcW w:w="25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SELLING SECURITYHOLDERS</w:t>
              </w:r>
            </w:hyperlink>
          </w:p>
        </w:tc>
        <w:tc>
          <w:tcPr>
            <w:tcW w:w="1960" w:type="dxa"/>
            <w:vAlign w:val="bottom"/>
            <w:gridSpan w:val="5"/>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w:t>
            </w: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PLAN OF DISTRIBUTION</w:t>
              </w:r>
            </w:hyperlink>
          </w:p>
        </w:tc>
        <w:tc>
          <w:tcPr>
            <w:tcW w:w="2420" w:type="dxa"/>
            <w:vAlign w:val="bottom"/>
            <w:gridSpan w:val="7"/>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w:t>
            </w:r>
          </w:p>
        </w:tc>
      </w:tr>
      <w:tr>
        <w:trPr>
          <w:trHeight w:val="196"/>
        </w:trPr>
        <w:tc>
          <w:tcPr>
            <w:tcW w:w="448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MATTERS</w:t>
              </w:r>
            </w:hyperlink>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6</w:t>
            </w:r>
          </w:p>
        </w:tc>
      </w:tr>
      <w:tr>
        <w:trPr>
          <w:trHeight w:val="196"/>
        </w:trPr>
        <w:tc>
          <w:tcPr>
            <w:tcW w:w="14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3020" w:type="dxa"/>
            <w:vAlign w:val="bottom"/>
            <w:gridSpan w:val="9"/>
          </w:tcPr>
          <w:p>
            <w:pPr>
              <w:spacing w:after="0"/>
              <w:rPr>
                <w:sz w:val="17"/>
                <w:szCs w:val="17"/>
                <w:color w:val="auto"/>
              </w:rPr>
            </w:pPr>
          </w:p>
        </w:tc>
        <w:tc>
          <w:tcPr>
            <w:tcW w:w="69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6</w:t>
            </w:r>
          </w:p>
        </w:tc>
      </w:tr>
      <w:tr>
        <w:trPr>
          <w:trHeight w:val="1651"/>
        </w:trPr>
        <w:tc>
          <w:tcPr>
            <w:tcW w:w="78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This prospectus is part of a Registration Statement on Form S-3 that we filed with the U.S. Securities and Exchange Commission, or SEC, using the "shelf" registration process. By using a shelf registration statement, we and/or certain selling securityholders may offer and sell, from time to time, in one or more offerings, the securities described in this prospectus. No limit exists on the aggregate amount of the securities we may sell pursuant to the Registration Statement. This prospectus describes some of the general terms that may apply to these securities. The specific terms of any securities to be offered, and any other information relating to a specific offering, will be set forth in a supplement to this prospectus.</w:t>
      </w:r>
    </w:p>
    <w:p>
      <w:pPr>
        <w:spacing w:after="0" w:line="20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or any applicable prospectus supplement. We have not authorized anyone to provide you with different information. This document may only be used where it is legal to sell these securities. You should not assume that the information contained in this prospectus, or in any prospectus supplement, is accurate as of any date other than their respective dates.</w:t>
      </w:r>
    </w:p>
    <w:p>
      <w:pPr>
        <w:spacing w:after="0" w:line="17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urge you to read carefully both this prospectus and the applicable prospectus supplement accompanying this prospectus, together with the information incorporated herein by reference as described under the heading "Where You Can Find More Information," before deciding whether to invest in any of the securities being offered.</w:t>
      </w:r>
    </w:p>
    <w:p>
      <w:pPr>
        <w:spacing w:after="0" w:line="20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References in this prospectus to "Itron," "we," "us" and "our" are to Itron, Inc. and its subsidiaries. The term "you" refers to a prospective investor. Our principal executive offices are located at 2111 N. Molter Road, Liberty Lake, Washington 99019. Our phone number is (509) 924-9900.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disclosure and analysis in this prospectus, in any prospectus supplement, in the documents incorporated by reference, and in some of our other public statements contain "forward-looking statements" within the meaning of the Private Securities Litigation Reform Act of 1995, as amended. This Act provides a "safe harbor" for forward-looking statements to encourage companies to provide prospective information about themselves so long as they identify these statements as forward-looking and provide meaningful cautionary statements identifying important factors that could cause actual results to differ from the projected results. In some cases, you can identify forward-looking statements by terminology such as "anticipate," "believe," "continue," "could," "estimate," "expect," "intend," "may," "might," "plan," "potential," "predict," "should," or "will," or the negative of those terms, or comparable terminology.</w:t>
      </w:r>
    </w:p>
    <w:p>
      <w:pPr>
        <w:spacing w:after="0" w:line="19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Any or all of our forward-looking statements in this prospectus, in any prospectus supplement, in the documents incorporated by reference and in any other public statements we make may turn out to be inaccurate. Forward-looking statements reflect our current expectations or forecasts of future events or results and are inherently uncertain. Inaccurate assumptions we might make and known or unknown risks and uncertainties can affect the accuracy of our forward-looking statements. Accordingly, no forward-looking statement can be guaranteed and future events and actual or suggested results may differ materially.</w:t>
      </w:r>
    </w:p>
    <w:p>
      <w:pPr>
        <w:spacing w:after="0" w:line="21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We undertake no obligation to publicly update any forward-looking statements, whether as a result of new information, future events, or otherwise. You are advised, however, to consult any further disclosures we make in our annual reports on Form 10-K, quarterly reports on Form 10-Q, and current reports on Form 8-K, as well as in any prospectus supplement relating to this prospectus and other public filings with the SEC.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Please carefully consider the risk factors described in our periodic reports filed with the SEC, which are included or incorporated by reference in this prospectus. Before making an investment decision, you should carefully consider these risks as well as other information we include or incorporate by reference in this prospectus or include in any applicable prospectus supplement. Additional risks and uncertainties not presently known to us or that we currently deem immaterial may also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The price of our common stock may fluctuate significantly, and this may make it difficult for you to sell the common stock when you want or at prices you find attractive.</w:t>
      </w:r>
    </w:p>
    <w:p>
      <w:pPr>
        <w:spacing w:after="0" w:line="19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price of our common stock on the Nasdaq Global Select Market has been, and is likely to remain, highly volatile. We expect that the market price of our common stock will continue to fluctuate. In addition, because our convertible senior subordinated notes are convertible into our common stock, volatility or depressed prices for our common stock could have a similar effect on the trading price of our convertible senior subordinated notes.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stock price may fluctuate as a result of a variety of factors, many of which are beyond our control. These factors may include:</w:t>
      </w:r>
    </w:p>
    <w:p>
      <w:pPr>
        <w:spacing w:after="0" w:line="252" w:lineRule="exact"/>
        <w:rPr>
          <w:sz w:val="20"/>
          <w:szCs w:val="20"/>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foreign currency rates;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of innovations, new products and technology, strategic developments, significant contracts, acquisitions and other material events by us or our competitors;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general conditions in our industry and in the economy, the financial markets, and the domestic or international political environment;</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developments or disputes;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considerations.</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in recent years, the stock market in general has experienced significant price and volume fluctuations. This volatility has had a significant effect on the market price of securities issued by many companies for reasons often unrelated to their operating performance. These broad market fluctuations may adversely affect our stock price, regardless of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sales of shares by existing shareholders could affect our stock price.</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Shares of common stock held by our shareholders, including our executive officers and directors, may be sold in the public market at any time and from time to time subject in certain cases to volume limitations under Rule 144 of the Securities Act of 1933 (the Securities Act) and various vesting agreements. If any of these shareholders sell substantial amounts of our common stock in the public market, the market price of our common stock could decline. In addition, shares subject to outstanding options and shares reserved for future issuance under our stock option plan will continue to become eligible for sale in the public market to the extent permitted by the provisions of the various vesting agreements and the securities rules and regulations applicable to these shares.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shareholders’ interests may be diluted in various ways, which may reduce their returns.</w:t>
      </w:r>
    </w:p>
    <w:p>
      <w:pPr>
        <w:spacing w:after="0" w:line="252"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board of directors is authorized, without shareholder approval, to authorize us to issue additional shares of our common stock or to raise capital through the issuance of preferred stock, debt securities, and other rights, on terms and for consideration as our board of directors in its sole discretion may determine. Any such issuance could result in dilution of the equity of our shareholders. If our revenues are lower than anticipated or our expenses are higher than anticipated, we will require additional capital to service our indebtedness and finance our operations. We cannot assure you that any additional sources of financing or new capital will be available to us, available on acceptable terms, or permitted by the terms of our current debt.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rights plan and our ability to issue preferred stock could harm the rights of our common shareholders.</w:t>
      </w:r>
    </w:p>
    <w:p>
      <w:pPr>
        <w:spacing w:after="0" w:line="25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Each share of our outstanding common stock is associated with one right to acquire one one-hundredth (1/100) of a share of our Series R Participating Cumulative Preferred Stock, without par value, at a purchase price of $160.00 per share.</w:t>
      </w:r>
    </w:p>
    <w:p>
      <w:pPr>
        <w:spacing w:after="0" w:line="19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rights only become exercisable in certain limited circumstances on the distribution date, which is the earlier of: (1) the close of business on the tenth business day after a public announcement that a person has acquired beneficial ownership of 15% or more of our outstanding shares of common stock; and</w:t>
      </w:r>
    </w:p>
    <w:p>
      <w:pPr>
        <w:ind w:firstLine="8"/>
        <w:spacing w:after="0" w:line="287"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date that our Board of Directors designates following the commencement of, or first public disclosure of an intent to commence, a tender or exchange offer for outstanding shares of common stock that could result in the offeror becoming the beneficial owner of 15% or more of our outstanding shares of common stock. Prior to the earlier of the December 11, 2012 expiration date of the rights and a person becoming the beneficial owner of 15% or more of our outstanding shares of common stock, the rights are redeemable by us at a price of $0.01 per right. If the rights are not redeemed, each right will then entitle the holder to purchase for the purchase price, common stock having the value of twice the then-current purchase price. After a person becomes the beneficial owner of 15% or more of our outstanding shares of common stock, but before a person becomes the beneficial owner of more than 50% of these shares, our Board of Directors may elect to exchange each preferred share purchase right, other than those that have become null and void and nontransferable as described above, for shares of our common stock, without payment of the purchase price. The exchange rate in this situation would be one-half of the number of shares of common stock that would otherwise be issuable at that time upon the exercise of one preferred share purchase right.</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Some provisions in the rights plan may have the effect of discouraging a third party from making an acquisition proposal for us and may thereby inhibit a change in control. For example, such provisions may deter tender offers for shares of our common stock, which offers may be attractive to shareholders, or deter purchases of large blocks of our common stock, thereby limiting the opportunity for shareholders to receive a premium for their shares of common stock over the then-prevailing market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anti-takeover provisions contained in our charter and bylaws and under Washington laws could hinder a takeover attempt.</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Board of Directors has the authority to issue up to 10 million shares of preferred stock (1 million of which have been designated Series R Participating Cumulative Preferred Stock under our shareholder rights plan and the remainder of which have not yet been undesignated) and to determine the powers, preferences and rights and the qualifications, limitations or restrictions granted to or imposed upon any wholly unissued shares of undesignated preferred stock and to fix the number of shares constituting any series and the designation of such series, without the consent of our shareholders. The preferred stock could be issued with voting, liquidation, dividend, and other rights superior to those of the holders of our common stock. The issuance of the Series R Participating Cumulative Preferred Stock with respect to our shareholder rights plan or any preferred stock subsequently issued by our Board of Directors, under some circumstances, could have the effect of delaying, deferring, or preventing a change in control.</w:t>
      </w:r>
    </w:p>
    <w:p>
      <w:pPr>
        <w:spacing w:after="0" w:line="19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 certain provisions of our charter documents, including provisions relating to limitations of liability and indemnification of our directors and officers, dividing our Board of Directors into three classes of directors serving three-year terms, majority voting for directors, and limiting the ability of shareholders to raise matters at a meeting of shareholders without giving advance notice, may have the effect of delaying or preventing changes in our control or management, which could have an adverse effect on the market price of our common stock.</w:t>
      </w:r>
    </w:p>
    <w:p>
      <w:pPr>
        <w:spacing w:after="0" w:line="21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Chapter 23B.19 of the Washington Business Corporation Act, with limited exceptions, prohibits a "target corporation" from engaging in specified "significant business transactions" for a period of five years after the share acquisition by an acquiring person, unless (i) the prohibited transaction or the acquiring person’s purchase of shares was approved by a majority of the members of the target corporation’s board of directors prior to the acquiring person’s share acquisition or (ii) the prohibited transaction was both approved by the majority of the members of the target corporation’s board and authorized at a shareholder meeting by at least two-thirds of the outstanding voting shares (excluding the acquiring person’s shares) at or subsequent to the acquiring person’s share acquisition. An acquiring person is defined as a person or group of persons that beneficially own 10% or more of the voting securities of the target corporation. Such prohibited transactions include, among other things:</w:t>
      </w:r>
    </w:p>
    <w:p>
      <w:pPr>
        <w:spacing w:after="0" w:line="205"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mergers, or consolidations with, disposition of assets to, or issuances of stock to or redemption of stock from, the acquiring person;</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termination of 5% or more of the employees of the target corporation as a result of the acquiring person's acquisition of 10% or more of the shares;</w:t>
      </w:r>
    </w:p>
    <w:p>
      <w:pPr>
        <w:spacing w:after="0" w:line="275"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shareholder;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liquidating or dissolving the target corporation.</w:t>
      </w:r>
    </w:p>
    <w:p>
      <w:pPr>
        <w:spacing w:after="0" w:line="200" w:lineRule="exact"/>
        <w:rPr>
          <w:sz w:val="20"/>
          <w:szCs w:val="20"/>
          <w:color w:val="auto"/>
        </w:rPr>
      </w:pPr>
    </w:p>
    <w:p>
      <w:pPr>
        <w:spacing w:after="0" w:line="29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After the five-year period, certain "significant business transactions" are permitted, as long they comply with certain "fair price" provisions of the statute or are approved by a majority of the outstanding shares other than those of which the acquiring person has beneficial ownership. A corporation may not "opt out" of this statute.</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file annual, quarterly, and special reports, as well as registration and proxy statements and other information, with the SEC. These documents may be read and copied at the Public Reference Room at 100 F. Street, N.E., Washington, D.C. 20549. You can get further information about the SEC's Public Reference Room by calling 1-800-SEC-0330.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registration statements and other information regarding registrants like us that file electronically with the SEC.</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5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SEC allows us to "incorporate by reference" into this prospectus the information we file with the SEC. This means that we can disclose important information to you by referring you to those documents where the information resides. The information we incorporate by reference is considered a part of this prospectus, and later information we file with the SEC will automatically update and supersede this information. We incorporate by reference the documents listed below and any future filings we make with the SEC under Section 13(a), 13(c), 14 or 15(d) of the Securities Exchange Act of 1934 (the Exchange Act) until this offering is completed:</w:t>
      </w:r>
    </w:p>
    <w:p>
      <w:pPr>
        <w:spacing w:after="0" w:line="215"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on January 26, 2009 and February 18, 2009;</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Definitive Proxy Statement on Schedule 14A, filed on March 13, 2009 in connection with our 2009 Annual Meeting of Shareholders;</w:t>
      </w:r>
    </w:p>
    <w:p>
      <w:pPr>
        <w:spacing w:after="0" w:line="263" w:lineRule="exact"/>
        <w:rPr>
          <w:rFonts w:ascii="Arial" w:cs="Arial" w:eastAsia="Arial" w:hAnsi="Arial"/>
          <w:sz w:val="17"/>
          <w:szCs w:val="17"/>
          <w:color w:val="auto"/>
        </w:rPr>
      </w:pPr>
    </w:p>
    <w:p>
      <w:pPr>
        <w:ind w:left="980" w:hanging="13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description of our common stock as set forth in our registration statement on Form 8-A, which was filed on September 18, 1993;</w:t>
      </w:r>
    </w:p>
    <w:p>
      <w:pPr>
        <w:spacing w:after="0" w:line="263" w:lineRule="exact"/>
        <w:rPr>
          <w:rFonts w:ascii="Arial" w:cs="Arial" w:eastAsia="Arial" w:hAnsi="Arial"/>
          <w:sz w:val="17"/>
          <w:szCs w:val="17"/>
          <w:color w:val="auto"/>
        </w:rPr>
      </w:pPr>
    </w:p>
    <w:p>
      <w:pPr>
        <w:ind w:left="980" w:hanging="13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description of the preferred share purchase rights in our registration statement on Form 8-A, filed on December 16, 2002, under Section 12(b) of the Exchange Act, File No. 00-22418, including any amendments or reports filed for the purpose of updating such description.</w:t>
      </w:r>
    </w:p>
    <w:p>
      <w:pPr>
        <w:spacing w:after="0" w:line="3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are not incorporating by reference any information furnished under Items 2.02 or 7.01 (or corresponding information furnished under Item 9.01 or included as an exhibit) in any past or future current report on Form 8-K that we file with the SEC, unless otherwise specified in such report. In accordance with Rule 402 of Regulation S-T, the XBRL related information in Exhibit 100 to our Annual Report on Form 10-K and our Quarterly Reports on Form 10-Q will not be deemed to be incorporated by reference into any registration statement or other document filed under the Securities Act, except as will be expressly set forth by specific reference in such filing.</w:t>
      </w:r>
    </w:p>
    <w:p>
      <w:pPr>
        <w:spacing w:after="0" w:line="21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You may obtain any of the documents incorporated by reference through the SEC or the SEC's website as described above. You may also obtain copies of these documents, other than exhibits, free of charge by contacting our investor relations department at our principal offices, which are located at 2111 N. Molter Road, Liberty Lake , Washington, 99019, and our telephone number is (509) 924-9900.</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5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provide a comprehensive portfolio of products and services to utilities for the energy and water markets throughout the world. Our strong position in meter data collection and software solutions started with our introduction of handheld computer-based systems in 1977. Through product innovations and several other company acquisitions, we have become one of the world’s leading providers of metering, data collection and software solutions, serving our customers for over 100 years.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will set forth in the applicable prospectus supplement our intended use for the net proceeds received by us from our sale of securities under this prospectus. We will not receive the net proceeds of any sales by selling securityholders.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may offer shares of common stock, preferred stock, debt securities and convertible debt securities. We will set forth in the applicable prospectus supplement a description of the common stock, preferred stock, debt securities or convertible debt securities that may be offered under this prospectus. The terms of the offering of securities, the initial offering price, and the net proceeds to us will be contained in the prospectus supplement and other offering material, relating to such offering.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which are incorporated by reference.</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00" w:lineRule="exact"/>
        <w:rPr>
          <w:sz w:val="20"/>
          <w:szCs w:val="20"/>
          <w:color w:val="auto"/>
        </w:rPr>
      </w:pPr>
    </w:p>
    <w:p>
      <w:pPr>
        <w:spacing w:after="0" w:line="279" w:lineRule="exact"/>
        <w:rPr>
          <w:sz w:val="20"/>
          <w:szCs w:val="20"/>
          <w:color w:val="auto"/>
        </w:rPr>
      </w:pPr>
    </w:p>
    <w:p>
      <w:pPr>
        <w:ind w:right="100" w:firstLine="663"/>
        <w:spacing w:after="0" w:line="277" w:lineRule="auto"/>
        <w:rPr>
          <w:sz w:val="20"/>
          <w:szCs w:val="20"/>
          <w:color w:val="auto"/>
        </w:rPr>
      </w:pPr>
      <w:r>
        <w:rPr>
          <w:rFonts w:ascii="Arial" w:cs="Arial" w:eastAsia="Arial" w:hAnsi="Arial"/>
          <w:sz w:val="18"/>
          <w:szCs w:val="18"/>
          <w:color w:val="auto"/>
        </w:rPr>
        <w:t>We may sell the securities through underwriters or dealers, through agents, or directly to one or more purchasers, or through a combination of these methods. The applicable prospectus supplement will describe the terms of the offering of the securities, including:</w:t>
      </w:r>
    </w:p>
    <w:p>
      <w:pPr>
        <w:spacing w:after="0" w:line="197" w:lineRule="exact"/>
        <w:rPr>
          <w:sz w:val="20"/>
          <w:szCs w:val="20"/>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w:t>
      </w:r>
    </w:p>
    <w:p>
      <w:pPr>
        <w:spacing w:after="0" w:line="23" w:lineRule="exact"/>
        <w:rPr>
          <w:rFonts w:ascii="Arial" w:cs="Arial" w:eastAsia="Arial" w:hAnsi="Arial"/>
          <w:sz w:val="18"/>
          <w:szCs w:val="18"/>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 w:lineRule="exact"/>
        <w:rPr>
          <w:rFonts w:ascii="Arial" w:cs="Arial" w:eastAsia="Arial" w:hAnsi="Arial"/>
          <w:sz w:val="18"/>
          <w:szCs w:val="18"/>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9" w:lineRule="exact"/>
        <w:rPr>
          <w:rFonts w:ascii="Arial" w:cs="Arial" w:eastAsia="Arial" w:hAnsi="Arial"/>
          <w:sz w:val="18"/>
          <w:szCs w:val="18"/>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420" w:hanging="14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52" w:lineRule="exact"/>
        <w:rPr>
          <w:sz w:val="20"/>
          <w:szCs w:val="20"/>
          <w:color w:val="auto"/>
        </w:rPr>
      </w:pPr>
    </w:p>
    <w:p>
      <w:pPr>
        <w:ind w:right="240" w:firstLine="666"/>
        <w:spacing w:after="0" w:line="257" w:lineRule="auto"/>
        <w:rPr>
          <w:sz w:val="20"/>
          <w:szCs w:val="20"/>
          <w:color w:val="auto"/>
        </w:rPr>
      </w:pPr>
      <w:r>
        <w:rPr>
          <w:rFonts w:ascii="Arial" w:cs="Arial" w:eastAsia="Arial" w:hAnsi="Arial"/>
          <w:sz w:val="18"/>
          <w:szCs w:val="18"/>
          <w:color w:val="auto"/>
        </w:rPr>
        <w:t>If we use underwriters in the sale, they will acquire the securities for their own account and may resell them from time to time in one or more transactions at a fixed public offering price or at varying prices. We may offer the securities to the public through underwriting syndicates represented by managing underwriters or by underwriters without a syndicate. Subject to specific limited conditions, the underwriters will be obligated to purchase all the securities of the series offered by the prospectus supplement. Any public offering price and any discounts or concessions allowed or reallowed or paid to dealers may change from time to time.</w:t>
      </w:r>
    </w:p>
    <w:p>
      <w:pPr>
        <w:spacing w:after="0" w:line="215" w:lineRule="exact"/>
        <w:rPr>
          <w:sz w:val="20"/>
          <w:szCs w:val="20"/>
          <w:color w:val="auto"/>
        </w:rPr>
      </w:pPr>
    </w:p>
    <w:p>
      <w:pPr>
        <w:ind w:right="100" w:firstLine="663"/>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208" w:lineRule="exact"/>
        <w:rPr>
          <w:sz w:val="20"/>
          <w:szCs w:val="20"/>
          <w:color w:val="auto"/>
        </w:rPr>
      </w:pPr>
    </w:p>
    <w:p>
      <w:pPr>
        <w:jc w:val="both"/>
        <w:ind w:firstLine="663"/>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93" w:lineRule="exact"/>
        <w:rPr>
          <w:sz w:val="20"/>
          <w:szCs w:val="20"/>
          <w:color w:val="auto"/>
        </w:rPr>
      </w:pPr>
    </w:p>
    <w:p>
      <w:pPr>
        <w:ind w:firstLine="666"/>
        <w:spacing w:after="0" w:line="293" w:lineRule="auto"/>
        <w:rPr>
          <w:sz w:val="20"/>
          <w:szCs w:val="20"/>
          <w:color w:val="auto"/>
        </w:rPr>
      </w:pPr>
      <w:r>
        <w:rPr>
          <w:rFonts w:ascii="Arial" w:cs="Arial" w:eastAsia="Arial" w:hAnsi="Arial"/>
          <w:sz w:val="16"/>
          <w:szCs w:val="16"/>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92" w:lineRule="exact"/>
        <w:rPr>
          <w:sz w:val="20"/>
          <w:szCs w:val="20"/>
          <w:color w:val="auto"/>
        </w:rPr>
      </w:pPr>
    </w:p>
    <w:p>
      <w:pPr>
        <w:ind w:right="340" w:firstLine="663"/>
        <w:spacing w:after="0" w:line="264" w:lineRule="auto"/>
        <w:rPr>
          <w:sz w:val="20"/>
          <w:szCs w:val="20"/>
          <w:color w:val="auto"/>
        </w:rPr>
      </w:pPr>
      <w:r>
        <w:rPr>
          <w:rFonts w:ascii="Arial" w:cs="Arial" w:eastAsia="Arial" w:hAnsi="Arial"/>
          <w:sz w:val="18"/>
          <w:szCs w:val="18"/>
          <w:color w:val="auto"/>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spacing w:after="0" w:line="208" w:lineRule="exact"/>
        <w:rPr>
          <w:sz w:val="20"/>
          <w:szCs w:val="20"/>
          <w:color w:val="auto"/>
        </w:rPr>
      </w:pPr>
    </w:p>
    <w:p>
      <w:pPr>
        <w:ind w:firstLine="666"/>
        <w:spacing w:after="0" w:line="293" w:lineRule="auto"/>
        <w:rPr>
          <w:sz w:val="20"/>
          <w:szCs w:val="20"/>
          <w:color w:val="auto"/>
        </w:rPr>
      </w:pPr>
      <w:r>
        <w:rPr>
          <w:rFonts w:ascii="Arial" w:cs="Arial" w:eastAsia="Arial" w:hAnsi="Arial"/>
          <w:sz w:val="16"/>
          <w:szCs w:val="16"/>
          <w:color w:val="auto"/>
        </w:rPr>
        <w:t>In addition, we may enter into derivative transactions with third parties (including the writing of options), or sell securities not covered by this prospectus to third parties in privately negotiated transactions. In connection with such a transaction the third parties may, pursuant to this prospectus and the applicable prospectus supplement, sell securities covered by this prospectus and the applicable prospectus supplement. If so, the third parties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w:t>
      </w:r>
    </w:p>
    <w:p>
      <w:pPr>
        <w:spacing w:after="0" w:line="192" w:lineRule="exact"/>
        <w:rPr>
          <w:sz w:val="20"/>
          <w:szCs w:val="20"/>
          <w:color w:val="auto"/>
        </w:rPr>
      </w:pPr>
    </w:p>
    <w:p>
      <w:pPr>
        <w:ind w:right="80" w:firstLine="656"/>
        <w:spacing w:after="0" w:line="264"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208" w:lineRule="exact"/>
        <w:rPr>
          <w:sz w:val="20"/>
          <w:szCs w:val="20"/>
          <w:color w:val="auto"/>
        </w:rPr>
      </w:pPr>
    </w:p>
    <w:p>
      <w:pPr>
        <w:ind w:right="40" w:firstLine="666"/>
        <w:spacing w:after="0" w:line="273" w:lineRule="auto"/>
        <w:rPr>
          <w:sz w:val="20"/>
          <w:szCs w:val="20"/>
          <w:color w:val="auto"/>
        </w:rPr>
      </w:pPr>
      <w:r>
        <w:rPr>
          <w:rFonts w:ascii="Arial" w:cs="Arial" w:eastAsia="Arial" w:hAnsi="Arial"/>
          <w:sz w:val="17"/>
          <w:szCs w:val="17"/>
          <w:color w:val="auto"/>
        </w:rPr>
        <w:t>Underwriters may engage in stabilizing and syndicate covering transactions in accordance with Rule 104 of Regulation M under the Exchange Act. Rule 104 of Regulation M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Stabilizing and syndicate covering transactions may cause the price of the offered securities to be higher than it would otherwise be in the absence of these transactions. These transactions, if commenced, may be discontinued at any time.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Perkins Coie LLP, Seattle, Washington, will provide Itron with an opinion as to the legality of the securities we are offering. Counsel representing any underwriters will be named in the applicable prospectus supplement.</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consolidated financial statements of Itron, Inc. appearing in Itron, Inc.’s Annual Report (Form 10-K) for the year ended December 31, 2008 (including schedule appearing therein)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8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consolidated financial statements of Itron, Inc. for the year ended December 31, 2006, incorporated in this prospectus by reference from the Annual Report on Form 10-K of Itron, Inc. for the year ended December 31, 2008, have been audited by Deloitte &amp; Touche LLP, an independent registered public accounting firm, as stated in their report, which is incorporated herein by reference. Such consolidated financial statements have been so incorporated by reference in reliance upon the report of such firm given upon their authority as experts in accounting and auditing.</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0" w:name="page11"/>
    <w:bookmarkEnd w:id="10"/>
    <w:p>
      <w:pPr>
        <w:spacing w:after="0"/>
        <w:rPr>
          <w:rFonts w:ascii="Arial" w:cs="Arial" w:eastAsia="Arial" w:hAnsi="Arial"/>
          <w:sz w:val="19"/>
          <w:szCs w:val="19"/>
          <w:i w:val="1"/>
          <w:iCs w:val="1"/>
          <w:u w:val="single" w:color="auto"/>
          <w:color w:val="0000EE"/>
        </w:rPr>
      </w:pPr>
      <w:hyperlink w:anchor="page4">
        <w:r>
          <w:rPr>
            <w:rFonts w:ascii="Arial" w:cs="Arial" w:eastAsia="Arial" w:hAnsi="Arial"/>
            <w:sz w:val="19"/>
            <w:szCs w:val="19"/>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1109980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1135380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2541905</wp:posOffset>
            </wp:positionV>
            <wp:extent cx="848995" cy="36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8995" cy="368935"/>
                    </a:xfrm>
                    <a:prstGeom prst="rect">
                      <a:avLst/>
                    </a:prstGeom>
                    <a:noFill/>
                  </pic:spPr>
                </pic:pic>
              </a:graphicData>
            </a:graphic>
          </wp:anchor>
        </w:drawing>
      </w:r>
    </w:p>
    <w:p>
      <w:pPr>
        <w:sectPr>
          <w:pgSz w:w="11900" w:h="16838" w:orient="portrait"/>
          <w:cols w:equalWidth="0" w:num="1">
            <w:col w:w="10219"/>
          </w:cols>
          <w:pgMar w:left="240" w:top="2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20"/>
        <w:spacing w:after="0"/>
        <w:rPr>
          <w:sz w:val="20"/>
          <w:szCs w:val="20"/>
          <w:color w:val="auto"/>
        </w:rPr>
      </w:pPr>
      <w:r>
        <w:rPr>
          <w:rFonts w:ascii="Arial" w:cs="Arial" w:eastAsia="Arial" w:hAnsi="Arial"/>
          <w:sz w:val="32"/>
          <w:szCs w:val="32"/>
          <w:b w:val="1"/>
          <w:bCs w:val="1"/>
          <w:color w:val="auto"/>
        </w:rPr>
        <w:t>Itron, Inc.</w:t>
      </w:r>
    </w:p>
    <w:p>
      <w:pPr>
        <w:spacing w:after="0" w:line="200" w:lineRule="exact"/>
        <w:rPr>
          <w:sz w:val="20"/>
          <w:szCs w:val="20"/>
          <w:color w:val="auto"/>
        </w:rPr>
      </w:pPr>
    </w:p>
    <w:p>
      <w:pPr>
        <w:spacing w:after="0" w:line="30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25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Preferred Stock</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Debt Securities</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Convertible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1389380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1415415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1593215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267" w:right="1440" w:bottom="1440" w:gutter="0" w:footer="0" w:header="0"/>
          <w:type w:val="continuous"/>
        </w:sectPr>
      </w:pPr>
    </w:p>
    <w:bookmarkStart w:id="11" w:name="page12"/>
    <w:bookmarkEnd w:id="11"/>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sets forth the estimated costs and expenses, other than underwriting discounts, payable by the registrant in connection with the offering of the securities being registered.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SEC registration fee</w:t>
            </w:r>
          </w:p>
        </w:tc>
        <w:tc>
          <w:tcPr>
            <w:tcW w:w="4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NASD filing fee</w:t>
            </w:r>
          </w:p>
        </w:tc>
        <w:tc>
          <w:tcPr>
            <w:tcW w:w="3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Nasdaq Market Exchange listing fee</w:t>
            </w:r>
          </w:p>
        </w:tc>
        <w:tc>
          <w:tcPr>
            <w:tcW w:w="3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Transfer Agent and registrar fee</w:t>
            </w:r>
          </w:p>
        </w:tc>
        <w:tc>
          <w:tcPr>
            <w:tcW w:w="3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6400" w:type="dxa"/>
            <w:vAlign w:val="bottom"/>
          </w:tcPr>
          <w:p>
            <w:pPr>
              <w:spacing w:after="0"/>
              <w:rPr>
                <w:sz w:val="20"/>
                <w:szCs w:val="20"/>
                <w:color w:val="auto"/>
              </w:rPr>
            </w:pPr>
            <w:r>
              <w:rPr>
                <w:rFonts w:ascii="Arial" w:cs="Arial" w:eastAsia="Arial" w:hAnsi="Arial"/>
                <w:sz w:val="18"/>
                <w:szCs w:val="18"/>
                <w:color w:val="auto"/>
              </w:rPr>
              <w:t>Accounting expenses</w:t>
            </w:r>
          </w:p>
        </w:tc>
        <w:tc>
          <w:tcPr>
            <w:tcW w:w="37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Total</w:t>
            </w:r>
          </w:p>
        </w:tc>
        <w:tc>
          <w:tcPr>
            <w:tcW w:w="4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60" w:hanging="307"/>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Rule 456(b), we are deferring payment of the registration fee for the securities offerred by this prospecturs.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To be provided by amendment or as an exhibit to a filing with the SEC under Section 13(a), 13(c) or 15(d) of the Securities Exchange Act.</w:t>
      </w:r>
    </w:p>
    <w:p>
      <w:pPr>
        <w:spacing w:after="0" w:line="200" w:lineRule="exact"/>
        <w:rPr>
          <w:sz w:val="20"/>
          <w:szCs w:val="20"/>
          <w:color w:val="auto"/>
        </w:rPr>
      </w:pPr>
    </w:p>
    <w:p>
      <w:pPr>
        <w:spacing w:after="0" w:line="2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5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06"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200" w:lineRule="exact"/>
        <w:rPr>
          <w:sz w:val="20"/>
          <w:szCs w:val="20"/>
          <w:color w:val="auto"/>
        </w:rPr>
      </w:pPr>
    </w:p>
    <w:p>
      <w:pPr>
        <w:spacing w:after="0" w:line="24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0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w:t>
      </w:r>
    </w:p>
    <w:p>
      <w:pPr>
        <w:spacing w:after="0" w:line="20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26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68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Amended and Restated Articles of Incorporation of Itron, Inc. (filed as Exhibit 3.1 to Itron, Inc.'s Annual Report on Form 10-K, filed on</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March 27, 2003, File No. 0-22418)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Amended and Restated Bylaws of Itron, Inc. (filed as Exhibit 3.2 to Itron, Inc.'s Annual Report on Form 10-K, filed on February 26, 2008,</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File No. 0-22418)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5"/>
              </w:rPr>
              <w:t>Rights Agreement between Itron, Inc. and Mellon Investor Services LLC, as Rights Agent, dated as of December 11, 2002 (filed as</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Exhibit 4.1 to the Itron, Inc. Registration of Securities on Form 8-A, filed on December 16, 2002, File No. 0-22418)</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Debt Indenture (filed as Exhibit 4.2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Convertible Debt Indenture (filed as Exhibit 4.3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Debt Security (filed as Exhibit 4.2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Convertible Debt Security (filed as Exhibit 4.3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Opinion of Perkins Coie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Ernst &amp; Young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Deloitte &amp; Touche LLP</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Perkins Coie LLP (included in its opinion filed as Exhibit 5.1 hereto)</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T-1 Statement of Eligibility of Trustee under Debt Indenture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T-1 Statement of Eligibility of Trustee under Convertible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8-K under the Exchange Act, subsequent to effectiveness, pursuant to Regulation S-K, Item 601(b)(1) under the Exchange Act.</w:t>
      </w:r>
    </w:p>
    <w:p>
      <w:pPr>
        <w:spacing w:after="0" w:line="197"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45" w:lineRule="exact"/>
        <w:rPr>
          <w:rFonts w:ascii="Arial" w:cs="Arial" w:eastAsia="Arial" w:hAnsi="Arial"/>
          <w:sz w:val="18"/>
          <w:szCs w:val="18"/>
          <w:color w:val="auto"/>
        </w:rPr>
      </w:pPr>
    </w:p>
    <w:p>
      <w:pPr>
        <w:ind w:left="5700" w:hanging="202"/>
        <w:spacing w:after="0"/>
        <w:tabs>
          <w:tab w:leader="none" w:pos="5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256"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300" w:hanging="968"/>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right="240" w:firstLine="656"/>
        <w:spacing w:after="0" w:line="293" w:lineRule="auto"/>
        <w:tabs>
          <w:tab w:leader="none" w:pos="13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91" w:lineRule="exact"/>
        <w:rPr>
          <w:rFonts w:ascii="Arial" w:cs="Arial" w:eastAsia="Arial" w:hAnsi="Arial"/>
          <w:sz w:val="16"/>
          <w:szCs w:val="16"/>
          <w:color w:val="auto"/>
        </w:rPr>
      </w:pPr>
    </w:p>
    <w:p>
      <w:pPr>
        <w:ind w:right="40" w:firstLine="656"/>
        <w:spacing w:after="0" w:line="279" w:lineRule="auto"/>
        <w:tabs>
          <w:tab w:leader="none" w:pos="1365" w:val="left"/>
        </w:tabs>
        <w:numPr>
          <w:ilvl w:val="2"/>
          <w:numId w:val="11"/>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paragraphs (i) and (ii) above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into the Registration Statement.</w:t>
      </w:r>
    </w:p>
    <w:p>
      <w:pPr>
        <w:spacing w:after="0" w:line="198" w:lineRule="exact"/>
        <w:rPr>
          <w:rFonts w:ascii="Arial" w:cs="Arial" w:eastAsia="Arial" w:hAnsi="Arial"/>
          <w:sz w:val="17"/>
          <w:szCs w:val="17"/>
          <w:color w:val="auto"/>
        </w:rPr>
      </w:pPr>
    </w:p>
    <w:p>
      <w:pPr>
        <w:ind w:firstLine="332"/>
        <w:spacing w:after="0" w:line="264"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right="580" w:firstLine="332"/>
        <w:spacing w:after="0" w:line="277"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that remain unsold at the termination of the offering.</w:t>
      </w:r>
    </w:p>
    <w:p>
      <w:pPr>
        <w:spacing w:after="0" w:line="197" w:lineRule="exact"/>
        <w:rPr>
          <w:rFonts w:ascii="Arial" w:cs="Arial" w:eastAsia="Arial" w:hAnsi="Arial"/>
          <w:sz w:val="18"/>
          <w:szCs w:val="18"/>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52" w:lineRule="exact"/>
        <w:rPr>
          <w:rFonts w:ascii="Arial" w:cs="Arial" w:eastAsia="Arial" w:hAnsi="Arial"/>
          <w:sz w:val="18"/>
          <w:szCs w:val="18"/>
          <w:color w:val="auto"/>
        </w:rPr>
      </w:pPr>
    </w:p>
    <w:p>
      <w:pPr>
        <w:ind w:right="20" w:firstLine="332"/>
        <w:spacing w:after="0" w:line="277" w:lineRule="auto"/>
        <w:tabs>
          <w:tab w:leader="none" w:pos="12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7" w:lineRule="exact"/>
        <w:rPr>
          <w:rFonts w:ascii="Arial" w:cs="Arial" w:eastAsia="Arial" w:hAnsi="Arial"/>
          <w:sz w:val="18"/>
          <w:szCs w:val="18"/>
          <w:color w:val="auto"/>
        </w:rPr>
      </w:pPr>
    </w:p>
    <w:p>
      <w:pPr>
        <w:ind w:left="1300" w:hanging="968"/>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right="220" w:firstLine="8"/>
        <w:spacing w:after="0" w:line="302" w:lineRule="auto"/>
        <w:tabs>
          <w:tab w:leader="none" w:pos="4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1" w:lineRule="exact"/>
        <w:rPr>
          <w:rFonts w:ascii="Arial" w:cs="Arial" w:eastAsia="Arial" w:hAnsi="Arial"/>
          <w:sz w:val="16"/>
          <w:szCs w:val="16"/>
          <w:color w:val="auto"/>
        </w:rPr>
      </w:pPr>
    </w:p>
    <w:p>
      <w:pPr>
        <w:ind w:left="1300" w:hanging="968"/>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right="440" w:firstLine="332"/>
        <w:spacing w:after="0" w:line="277" w:lineRule="auto"/>
        <w:tabs>
          <w:tab w:leader="none" w:pos="12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7" w:lineRule="exact"/>
        <w:rPr>
          <w:rFonts w:ascii="Arial" w:cs="Arial" w:eastAsia="Arial" w:hAnsi="Arial"/>
          <w:sz w:val="18"/>
          <w:szCs w:val="18"/>
          <w:color w:val="auto"/>
        </w:rPr>
      </w:pPr>
    </w:p>
    <w:p>
      <w:pPr>
        <w:ind w:right="80" w:firstLine="332"/>
        <w:spacing w:after="0" w:line="277"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rFonts w:ascii="Arial" w:cs="Arial" w:eastAsia="Arial" w:hAnsi="Arial"/>
          <w:sz w:val="18"/>
          <w:szCs w:val="18"/>
          <w:color w:val="auto"/>
        </w:rPr>
      </w:pPr>
    </w:p>
    <w:p>
      <w:pPr>
        <w:ind w:left="1300" w:hanging="968"/>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under the offering made by the undersigned registrant to the purchaser.</w:t>
      </w:r>
    </w:p>
    <w:p>
      <w:pPr>
        <w:sectPr>
          <w:pgSz w:w="11900" w:h="16838" w:orient="portrait"/>
          <w:cols w:equalWidth="0" w:num="1">
            <w:col w:w="11400"/>
          </w:cols>
          <w:pgMar w:left="240" w:top="118"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4" w:name="page15"/>
    <w:bookmarkEnd w:id="14"/>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40" w:firstLine="8"/>
        <w:spacing w:after="0" w:line="279" w:lineRule="auto"/>
        <w:tabs>
          <w:tab w:leader="none" w:pos="4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8" w:lineRule="exact"/>
        <w:rPr>
          <w:rFonts w:ascii="Arial" w:cs="Arial" w:eastAsia="Arial" w:hAnsi="Arial"/>
          <w:sz w:val="17"/>
          <w:szCs w:val="17"/>
          <w:color w:val="auto"/>
        </w:rPr>
      </w:pPr>
    </w:p>
    <w:p>
      <w:pPr>
        <w:ind w:right="100" w:firstLine="8"/>
        <w:spacing w:after="0" w:line="291" w:lineRule="auto"/>
        <w:tabs>
          <w:tab w:leader="none" w:pos="4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rFonts w:ascii="Arial" w:cs="Arial" w:eastAsia="Arial" w:hAnsi="Arial"/>
          <w:sz w:val="16"/>
          <w:szCs w:val="16"/>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the undersigned registrant will file an application for the purpose of determining the eligibility of the trustee to act under subsection (a)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310 of the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Liberty Lake, State of Washington, on April 3, 2009.</w:t>
      </w: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Sr. Vice President and Chief Financial Officer</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person whose individual signature appears below hereby authorizes Malcolm Unsworth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20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3rd day of April, 2009.</w:t>
      </w:r>
    </w:p>
    <w:p>
      <w:pPr>
        <w:sectPr>
          <w:pgSz w:w="11900" w:h="16838" w:orient="portrait"/>
          <w:cols w:equalWidth="0" w:num="1">
            <w:col w:w="11380"/>
          </w:cols>
          <w:pgMar w:left="240" w:top="267" w:right="279" w:bottom="1440" w:gutter="0" w:footer="0" w:header="0"/>
        </w:sectPr>
      </w:pPr>
    </w:p>
    <w:p>
      <w:pPr>
        <w:spacing w:after="0" w:line="193" w:lineRule="exact"/>
        <w:rPr>
          <w:sz w:val="20"/>
          <w:szCs w:val="20"/>
          <w:color w:val="auto"/>
        </w:rPr>
      </w:pPr>
    </w:p>
    <w:p>
      <w:pPr>
        <w:jc w:val="right"/>
        <w:ind w:right="228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3430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B. Bracy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Kirby A. Dyess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 E. Eliassen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Charles H. Gaylord,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S.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Sharon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E. Pruitt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4302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Graham M. Wilson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Title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 Director</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and 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(Principal Financial and Accounting Officer)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29" w:lineRule="exact"/>
        <w:rPr>
          <w:sz w:val="20"/>
          <w:szCs w:val="20"/>
          <w:color w:val="auto"/>
        </w:rPr>
      </w:pPr>
    </w:p>
    <w:p>
      <w:pPr>
        <w:sectPr>
          <w:pgSz w:w="11900" w:h="16838" w:orient="portrait"/>
          <w:cols w:equalWidth="0" w:num="2">
            <w:col w:w="5340" w:space="720"/>
            <w:col w:w="5320"/>
          </w:cols>
          <w:pgMar w:left="240" w:top="267" w:right="279" w:bottom="1440"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type w:val="continuous"/>
        </w:sectPr>
      </w:pPr>
    </w:p>
    <w:bookmarkStart w:id="16" w:name="page17"/>
    <w:bookmarkEnd w:id="16"/>
    <w:p>
      <w:pPr>
        <w:spacing w:after="0"/>
        <w:rPr>
          <w:rFonts w:ascii="Arial" w:cs="Arial" w:eastAsia="Arial" w:hAnsi="Arial"/>
          <w:sz w:val="22"/>
          <w:szCs w:val="22"/>
          <w:i w:val="1"/>
          <w:iCs w:val="1"/>
          <w:u w:val="single" w:color="auto"/>
          <w:color w:val="0000EE"/>
        </w:rPr>
      </w:pPr>
      <w:hyperlink w:anchor="page4">
        <w:r>
          <w:rPr>
            <w:rFonts w:ascii="Arial" w:cs="Arial" w:eastAsia="Arial" w:hAnsi="Arial"/>
            <w:sz w:val="22"/>
            <w:szCs w:val="22"/>
            <w:i w:val="1"/>
            <w:i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860" w:type="dxa"/>
            <w:vAlign w:val="bottom"/>
            <w:gridSpan w:val="3"/>
          </w:tcPr>
          <w:p>
            <w:pPr>
              <w:ind w:left="1460"/>
              <w:spacing w:after="0"/>
              <w:rPr>
                <w:sz w:val="20"/>
                <w:szCs w:val="20"/>
                <w:color w:val="auto"/>
              </w:rPr>
            </w:pPr>
            <w:r>
              <w:rPr>
                <w:rFonts w:ascii="Arial" w:cs="Arial" w:eastAsia="Arial" w:hAnsi="Arial"/>
                <w:sz w:val="18"/>
                <w:szCs w:val="18"/>
                <w:b w:val="1"/>
                <w:bCs w:val="1"/>
                <w:color w:val="auto"/>
              </w:rPr>
              <w:t>EXHIBIT INDEX</w:t>
            </w:r>
          </w:p>
        </w:tc>
      </w:tr>
      <w:tr>
        <w:trPr>
          <w:trHeight w:val="68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9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4"/>
              </w:rPr>
              <w:t>Amended and Restated Articles of Incorporation of Itron, Inc. (filed as Exhibit 3.1 to Itron, Inc.'s Annual Report on Form 10-K filed on</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March 27, 2003, (File No. 0-22418)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2"/>
              </w:rPr>
              <w:t>Amended and Restated Bylaws of Itron, Inc. (filed as Exhibit 3.2 to Itron, Inc.'s Annual Report on Form 10-K filed on February 26, 2008,</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(File No. 0-22418)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5"/>
              </w:rPr>
              <w:t>Rights Agreement between Itron, Inc. and Mellon Investor Services LLC, as Rights Agent, dated as of December 11, 2002 (filed as</w:t>
            </w: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Exhibit 4.1 to the Itron, Inc. Registration of Securities on Form 8-A, filed on December 16, 2002, File No. 0-22418)</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of Debt Indenture (filed as Exhibit 4.2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of Convertible Debt Indenture (filed as Exhibit 4.3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of Debt Security (filed as Exhibit 4.2 to Registration Statement on Form S-3, No 333-123346)</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of Convertible Debt Security (filed as Exhibit 4.3 to Registration Statement on Form S-3, No 333-123346)</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21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Opinion of Perkins Coie LLP</w:t>
            </w:r>
          </w:p>
        </w:tc>
        <w:tc>
          <w:tcPr>
            <w:tcW w:w="7860" w:type="dxa"/>
            <w:vAlign w:val="bottom"/>
            <w:gridSpan w:val="3"/>
          </w:tcPr>
          <w:p>
            <w:pPr>
              <w:spacing w:after="0"/>
              <w:rPr>
                <w:sz w:val="24"/>
                <w:szCs w:val="24"/>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59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Consent of Independent Registered Public Accounting Firm - Ernst &amp; Young LLP</w:t>
            </w:r>
          </w:p>
        </w:tc>
        <w:tc>
          <w:tcPr>
            <w:tcW w:w="4060" w:type="dxa"/>
            <w:vAlign w:val="bottom"/>
            <w:gridSpan w:val="2"/>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6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Independent Registered Public Accounting Firm - Deloitte &amp; Touche LLP</w:t>
            </w:r>
          </w:p>
        </w:tc>
        <w:tc>
          <w:tcPr>
            <w:tcW w:w="3800" w:type="dxa"/>
            <w:vAlign w:val="bottom"/>
          </w:tcPr>
          <w:p>
            <w:pPr>
              <w:spacing w:after="0"/>
              <w:rPr>
                <w:sz w:val="24"/>
                <w:szCs w:val="24"/>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Consent of Perkins Coie LLP (included in its opinion filed as Exhibit 5.1 hereto)</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T-1 Statement of Eligibility of Trustee under Debt Indenture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Form T-1 Statement of Eligibility of Trustee under Convertible Debt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06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5" w:lineRule="exact"/>
        <w:rPr>
          <w:sz w:val="20"/>
          <w:szCs w:val="20"/>
          <w:color w:val="auto"/>
        </w:rPr>
      </w:pPr>
    </w:p>
    <w:p>
      <w:pPr>
        <w:ind w:left="320" w:right="360" w:hanging="312"/>
        <w:spacing w:after="0" w:line="258"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8-K under the Exchange Act, subsequent to effectiveness, pursuant to Regulation S-K, Item 601(b)(1) under the Exchange Act.</w:t>
      </w:r>
    </w:p>
    <w:p>
      <w:pPr>
        <w:spacing w:after="0" w:line="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130"/>
        <w:spacing w:after="0"/>
        <w:tabs>
          <w:tab w:leader="none" w:pos="5640" w:val="left"/>
        </w:tabs>
        <w:numPr>
          <w:ilvl w:val="1"/>
          <w:numId w:val="15"/>
        </w:numPr>
        <w:rPr>
          <w:rFonts w:ascii="Arial" w:cs="Arial" w:eastAsia="Arial" w:hAnsi="Arial"/>
          <w:sz w:val="14"/>
          <w:szCs w:val="14"/>
          <w:color w:val="auto"/>
        </w:rPr>
      </w:pPr>
      <w:r>
        <w:rPr>
          <w:rFonts w:ascii="Arial" w:cs="Arial" w:eastAsia="Arial" w:hAnsi="Arial"/>
          <w:sz w:val="14"/>
          <w:szCs w:val="14"/>
          <w:color w:val="auto"/>
        </w:rPr>
        <w: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17" w:name="page18"/>
    <w:bookmarkEnd w:id="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Itron, Inc. for the registration of shares of its common stock, preferred stock, debt securities, or convertible debt securities and to the incorporation by reference therein of our reports dated February 25, 2009, with respect to the consolidated financial statements and schedule of Itron, Inc., and the effectiveness of internal control over financial reporting of Itron, Inc., included in its Annual Report (Form 10-K) for the year ended December 31, 2008,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ectPr>
          <w:pgSz w:w="11900" w:h="16838" w:orient="portrait"/>
          <w:cols w:equalWidth="0" w:num="1">
            <w:col w:w="11420"/>
          </w:cols>
          <w:pgMar w:left="240" w:top="36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 dated February 22, 2007, (September 12, 2007, as to Notes 16 and 17), relating to the consolidated financial statements of Itron, Inc. for the year ended December 31, 2006, appearing in the Annual Report on Form 10-K of Itron, Inc. for the year ended December 31,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u w:val="single" w:color="auto"/>
          <w:color w:val="auto"/>
        </w:rPr>
        <w:t>Exhibit 5.1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acted as counsel to Itron, Inc., a Washington corporation (the "Company"), in connection with the preparation and filing with the Securities and Exchange Commission (the "Commission") pursuant to the Securities Act of 1933, as amended (the "Securities Act"), and the rules and regulations promulgated thereunder (the "Rules") of the registration statement on Form S-3 (the "Registration Statement"), for the registration of the sale from time to time of:</w:t>
      </w:r>
    </w:p>
    <w:p>
      <w:pPr>
        <w:spacing w:after="0" w:line="214" w:lineRule="exact"/>
        <w:rPr>
          <w:sz w:val="20"/>
          <w:szCs w:val="20"/>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the Company's common stock, no par value (the "Common Stock"),</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the Company's preferred stock, no par value (the "Preferred Stock"),</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securities of the Company (the "Debt Securities"),</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convertible debt securities of the Company (the "Convertible Debt Securities"), and</w:t>
      </w:r>
    </w:p>
    <w:p>
      <w:pPr>
        <w:spacing w:after="0" w:line="252" w:lineRule="exact"/>
        <w:rPr>
          <w:rFonts w:ascii="Arial" w:cs="Arial" w:eastAsia="Arial" w:hAnsi="Arial"/>
          <w:sz w:val="18"/>
          <w:szCs w:val="18"/>
          <w:color w:val="auto"/>
        </w:rPr>
      </w:pPr>
    </w:p>
    <w:p>
      <w:pPr>
        <w:jc w:val="both"/>
        <w:ind w:right="60" w:firstLine="656"/>
        <w:spacing w:after="0" w:line="259" w:lineRule="auto"/>
        <w:tabs>
          <w:tab w:leader="none" w:pos="13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preferred share purchase rights to purchase shares of the Company's Series R Junior Participating Preferred Stock that attach to the Common Stock (the "Rights" and together with the Common Stock, Preferred Stock, Debt Securities and Convertible Debt Securities, collectively the "Securities"), when issued in accordance with the terms of the Rights Agreement, dated as of December 11, 2002, between the Company and Mellon Investor Services LLC, as rights agent (as it may be amended from time to time, the "Rights Agreement").</w:t>
      </w:r>
    </w:p>
    <w:p>
      <w:pPr>
        <w:spacing w:after="0" w:line="207"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The Company has informed us that the Securities will be sold or delivered on a delayed or continuous basis from time to time as set forth in the Registration Statement (and any amendments thereto), the prospectus contained therein and any prospectus supplement. We understand that prior to the sale of any Securities under the Registration Statement, the Company will afford us an opportunity to review the operative documents pursuant to which such Securities are to be sold and will file the applicable amendment to the Registration Statement (which may include as an exhibit an amendment to this opinion) or prospectus supplement as we may reasonably consider necessary or appropriate by reason of the terms of the sale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10145-1000/LEGAL15707556.1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each case, except as otherwise set forth in the applicable amendment to the Registration Statement or prospectus supplement, (a) any Debt Securities will be issued in one or more series pursuant to an applicable debt indenture (together with any supplemental indentures, the "Indenture") to be entered into between the Company and a trustee thereunder (the "Debt Trustee") in a form that either has been filed as an exhibit to the Registration Statement or will be filed as an exhibit to a post-effective amendment to the Registration Statement or incorporated by reference therein; (b) any Convertible Debt Securities will be issued in one or more series pursuant to an applicable convertible debt indenture (together with any supplemental indentures, the "Convertible Debt Indenture") to be entered into between the Company and a trustee thereunder (the "Convertible Debt Trustee") in a form that either has been filed as an exhibit to the Registration Statement or will be filed as an exhibit to a post-effective amendment to the Registration Statement or incorporated by reference therein; (c) any series of Preferred Stock will be issued under the Company's Amended and Restated Articles of Incorporation, as may be amended from time to time after the date hereof (the "Articles"), and one or more resolutions of the Board of Directors setting forth the terms and conditions of the Preferred Stock; and (d) any Common Stock will be issued under the Company's Articles.</w:t>
      </w:r>
    </w:p>
    <w:p>
      <w:pPr>
        <w:spacing w:after="0" w:line="20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part of the corporate actions taken and to be taken in connection with the issuance and sale of the Securities (the "corporate proceedings"), the Company's Board of Directors or a committee thereof or, in the case of Debt Securities, certain authorized officers of the Company as authorized by the Board of Directors will, before the Securities are issued and sold under the Registration Statement, authorize the issuance and approve the terms of any Securities to be issued and sold by the Company from time to time under the Registration Statement, and such applicable corporate proceedings shall be in full force and effect at any such issuance and sale.</w:t>
      </w:r>
    </w:p>
    <w:p>
      <w:pPr>
        <w:spacing w:after="0" w:line="21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In our capacity as counsel to the Company, we have examined or are otherwise familiar with the Company's Articles and Amended and Restated Bylaws, the Registration Statement, such of the corporate proceedings as have occurred as of the date hereof, and such other documents, records and instruments as we have deemed necessary for the purposes of this opinion. In such examination, we have assumed the following: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 For purposes of the opinions expressed below, we also assume that (a) the Registration Statement, and any amendments or prospectus supplements relating thereto (including any necessary post-effective amendments) shall have become and be effective pursuant to timely filings under the Securities Act,</w:t>
      </w:r>
    </w:p>
    <w:p>
      <w:pPr>
        <w:spacing w:after="0" w:line="3" w:lineRule="exact"/>
        <w:rPr>
          <w:sz w:val="20"/>
          <w:szCs w:val="20"/>
          <w:color w:val="auto"/>
        </w:rPr>
      </w:pPr>
    </w:p>
    <w:p>
      <w:pPr>
        <w:ind w:firstLine="8"/>
        <w:spacing w:after="0" w:line="268"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prospectus supplement describing each class and series of Securities offered pursuant to the Registration Statement, to the extent required by applicable law and the Rules, will be timely filed with the Commission, (c) with respect to the opinions in Paragraphs 3 and 5 below, compliance by the Company and the Trustee with the terms and conditions of the Debt Indenture or the Convertible Debt Indenture, as applicable, regarding the creation, authentication and delivery of any supplemental indenture to such Indenture, (d) all applicable corporate proceedings authorizing the issue, offer and sale of the Securities remain in full force and effect at all times any Securities are issued, offered or sold by the Company, (e) any Securities issuable upon conversion, exchange, or exercise of any of the other Securities, will have been duly authorized and reserved for issuance (in each case within the limits of the then remaining authorized but unreserved and unissued amounts of such Securities), and duly executed and delivered and validly issued, as the case may be, and (f) at the time of issuance and sale of any of the Securities, the terms of the Securities, and their issuance and sale, will have been established so as not to violate any applicable law or result in a default under or a breach of any agreement or instrument binding upon the Company and so as to comply with any requirement or restriction imposed by any court or governmental body having jurisdiction over the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and subject to the foregoing, we are of the opinion that:</w:t>
      </w:r>
    </w:p>
    <w:p>
      <w:pPr>
        <w:spacing w:after="0" w:line="252" w:lineRule="exact"/>
        <w:rPr>
          <w:sz w:val="20"/>
          <w:szCs w:val="20"/>
          <w:color w:val="auto"/>
        </w:rPr>
      </w:pPr>
    </w:p>
    <w:p>
      <w:pPr>
        <w:ind w:left="1300" w:right="2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Common Stock, when issued, sold and delivered in the manner and for the consideration stated in the Registration Statement (including any amendments thereto) and any prospectus supplements relating thereto, and as contemplated by the applicable corporate proceedings, will be validly issued, fully paid and nonassessable.</w:t>
      </w:r>
    </w:p>
    <w:p>
      <w:pPr>
        <w:spacing w:after="0" w:line="208" w:lineRule="exact"/>
        <w:rPr>
          <w:rFonts w:ascii="Arial" w:cs="Arial" w:eastAsia="Arial" w:hAnsi="Arial"/>
          <w:sz w:val="18"/>
          <w:szCs w:val="18"/>
          <w:color w:val="auto"/>
        </w:rPr>
      </w:pPr>
    </w:p>
    <w:p>
      <w:pPr>
        <w:ind w:left="1300" w:right="60" w:hanging="644"/>
        <w:spacing w:after="0" w:line="273"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 (a) the terms of any particular series of Preferred Stock have been established in accordance with the Articles and applicable corporate proceedings authorizing the issuance and sale of Preferred Stock, (b) a statement of designation conforming with Washington law regarding the Preferred Stock has been filed with and accepted by the Secretary of State of the State of Washington and (c) the Preferred Stock has been issued, sold and delivered in the manner and for the consideration stated in the Registration Statement, and any prospectus supplement related thereto, and in accordance with the terms of the particular series as established by the applicable corporate proceedings, the Preferred Stock will be validly issued, fully paid and nonassessable.</w:t>
      </w:r>
    </w:p>
    <w:p>
      <w:pPr>
        <w:spacing w:after="0" w:line="205" w:lineRule="exact"/>
        <w:rPr>
          <w:rFonts w:ascii="Arial" w:cs="Arial" w:eastAsia="Arial" w:hAnsi="Arial"/>
          <w:sz w:val="17"/>
          <w:szCs w:val="17"/>
          <w:color w:val="auto"/>
        </w:rPr>
      </w:pPr>
    </w:p>
    <w:p>
      <w:pPr>
        <w:ind w:left="1300" w:right="1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the Debt Indenture has been duly authorized, executed and delivered by the Company and qualified under the Trust Indenture Act of 1939, as amended (the "Trust Indenture Act"), and assuming due authorization, execution and delivery by the Debt Trustee, such Debt Indenture will constitute a valid and legally binding obligation of the Company, enforceable against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10145-1000/LEGAL15707556.1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81" w:lineRule="exact"/>
        <w:rPr>
          <w:sz w:val="20"/>
          <w:szCs w:val="20"/>
          <w:color w:val="auto"/>
        </w:rPr>
      </w:pPr>
    </w:p>
    <w:p>
      <w:pPr>
        <w:ind w:left="1300" w:hanging="644"/>
        <w:spacing w:after="0" w:line="293"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 (a) the applicable Debt Securities have been duly authorized by the Company, (b) the final terms of the applicable Debt Securities have been duly established and approved, and (c) the applicable Debt Securities have been duly executed by the Company and authenticated by the Debt Trustee in accordance with the applicable Debt Indenture and delivered to and paid for by the purchasers thereof as contemplated by the Registration Statement (including any amendments thereto), and any prospectus supplements related thereto, and as contemplated by the applicable corporate proceedings, such Debt Securities will constitute valid and legally binding obligations of the Company, enforceable against the Company in accordance with the terms thereof and will be entitled to the benefits of the Debt Indenture.</w:t>
      </w:r>
    </w:p>
    <w:p>
      <w:pPr>
        <w:spacing w:after="0" w:line="191" w:lineRule="exact"/>
        <w:rPr>
          <w:rFonts w:ascii="Arial" w:cs="Arial" w:eastAsia="Arial" w:hAnsi="Arial"/>
          <w:sz w:val="16"/>
          <w:szCs w:val="16"/>
          <w:color w:val="auto"/>
        </w:rPr>
      </w:pPr>
    </w:p>
    <w:p>
      <w:pPr>
        <w:jc w:val="both"/>
        <w:ind w:left="1300" w:right="100" w:hanging="644"/>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 the Convertible Indenture has been duly authorized, executed and delivered by the Company and qualified under the Trust Indenture Act, and assuming due authorization, execution and delivery by the Convertible Trustee, such Convertible Indenture will constitute a valid and legally binding obligation of the Company, enforceable against the Company in accordance with its terms.</w:t>
      </w:r>
    </w:p>
    <w:p>
      <w:pPr>
        <w:spacing w:after="0" w:line="192" w:lineRule="exact"/>
        <w:rPr>
          <w:rFonts w:ascii="Arial" w:cs="Arial" w:eastAsia="Arial" w:hAnsi="Arial"/>
          <w:sz w:val="17"/>
          <w:szCs w:val="17"/>
          <w:color w:val="auto"/>
        </w:rPr>
      </w:pPr>
    </w:p>
    <w:p>
      <w:pPr>
        <w:ind w:left="1300" w:right="80" w:hanging="644"/>
        <w:spacing w:after="0" w:line="272"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 (a) the Convertible Debt Securities have been duly authorized by the Company, (b) the final terms of the Convertible Debt Securities have been duly established and approved, and (c) the Convertible Debt Securities have been duly executed by the Company and authenticated by the Convertible Trustee in accordance with the applicable Convertible Indenture and delivered to and paid for by the purchasers thereof as contemplated by the Registration Statement (including any amendments thereto), and any prospectus supplements related thereto, and as contemplated by the applicable corporate proceedings, such Convertible Debt Securities will constitute valid and legally binding obligations of the Company, enforceable against the Company in accordance with the terms thereof and will be entitled to the benefits of the Convertible Indenture.</w:t>
      </w:r>
    </w:p>
    <w:p>
      <w:pPr>
        <w:spacing w:after="0" w:line="204"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issued pursuant to the terms of the Rights Agreement, the Rights will be validly issued.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opinions are subject to the following exclusions and qualifications:</w:t>
      </w:r>
    </w:p>
    <w:p>
      <w:pPr>
        <w:spacing w:after="0" w:line="252" w:lineRule="exact"/>
        <w:rPr>
          <w:sz w:val="20"/>
          <w:szCs w:val="20"/>
          <w:color w:val="auto"/>
        </w:rPr>
      </w:pPr>
    </w:p>
    <w:p>
      <w:pPr>
        <w:ind w:right="120" w:firstLine="8"/>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opinions are as of the date hereof (including, but not limited to, the laws, rules and regulations as in effect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208" w:lineRule="exact"/>
        <w:rPr>
          <w:rFonts w:ascii="Arial" w:cs="Arial" w:eastAsia="Arial" w:hAnsi="Arial"/>
          <w:sz w:val="18"/>
          <w:szCs w:val="18"/>
          <w:color w:val="auto"/>
        </w:rPr>
      </w:pPr>
    </w:p>
    <w:p>
      <w:pPr>
        <w:ind w:firstLine="8"/>
        <w:spacing w:after="0" w:line="276" w:lineRule="auto"/>
        <w:tabs>
          <w:tab w:leader="none" w:pos="627"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express no opinion as to enforceability of any right or obligation to the extent such right and obligation is subject to and limited by (i) the effect of bankruptcy, insolvency, reorganization, receivership, conservatorship, arrangement, moratorium, fraudulent transfer or other laws affecting or relating to the rights of creditors generally, (ii) rules governing the availability of specific performance, injunctive relief or other equitable remedies and general principles of equity, regardless of whether arising prior to, or after, the date hereof or considered in a proceeding in equity or at law or (iii) the effect of federal and state securities laws and principles of public policy on the rights of indemnity and contribution.</w:t>
      </w:r>
    </w:p>
    <w:p>
      <w:pPr>
        <w:spacing w:after="0" w:line="199" w:lineRule="exact"/>
        <w:rPr>
          <w:rFonts w:ascii="Arial" w:cs="Arial" w:eastAsia="Arial" w:hAnsi="Arial"/>
          <w:sz w:val="17"/>
          <w:szCs w:val="17"/>
          <w:color w:val="auto"/>
        </w:rPr>
      </w:pPr>
    </w:p>
    <w:p>
      <w:pPr>
        <w:ind w:right="200" w:firstLine="8"/>
        <w:spacing w:after="0" w:line="277" w:lineRule="auto"/>
        <w:tabs>
          <w:tab w:leader="none" w:pos="6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qualified to practice law in the State of Washington and do not express any opinions herein concerning any laws other than the laws in their current forms of the State of Washington and the federal securities laws of the United States of America.</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opinion letter is rendered solely for your benefit in connection with the offer and sale of the Securities and may not be relied upon, quoted or used by any other person or entity or for any other purpose without our prior written consent.</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any amendments thereto, including any and all post-effective amendments, and to the reference to our firm in the prospectus and any prospectus supplements relating thereto under the heading "Legal Matters." In giving such consent, we do not thereby admit that we are in the category of persons whose consent is required under Section 7 of the Securities Act or related Rules.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10145-1000/LEGAL15707556.1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2"/>
      <w:numFmt w:val="upperLetter"/>
      <w:start w:val="35"/>
    </w:lvl>
  </w:abstractNum>
  <w:abstractNum w:abstractNumId="10">
    <w:nsid w:val="41A7C4C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1">
    <w:nsid w:val="6B68079A"/>
    <w:multiLevelType w:val="hybridMultilevel"/>
    <w:lvl w:ilvl="0">
      <w:lvlJc w:val="left"/>
      <w:lvlText w:val="%1."/>
      <w:numFmt w:val="upperLetter"/>
      <w:start w:val="3"/>
    </w:lvl>
    <w:lvl w:ilvl="1">
      <w:lvlJc w:val="left"/>
      <w:lvlText w:val="(%2)"/>
      <w:numFmt w:val="decimal"/>
      <w:start w:val="1"/>
    </w:lvl>
  </w:abstractNum>
  <w:abstractNum w:abstractNumId="12">
    <w:nsid w:val="4E6AFB66"/>
    <w:multiLevelType w:val="hybridMultilevel"/>
    <w:lvl w:ilvl="0">
      <w:lvlJc w:val="left"/>
      <w:lvlText w:val="%1."/>
      <w:numFmt w:val="upperLetter"/>
      <w:start w:val="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2"/>
      <w:numFmt w:val="upperLetter"/>
      <w:start w:val="3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2019-12-10T06:13:48Z</dcterms:created>
  <dcterms:modified xsi:type="dcterms:W3CDTF">2019-12-10T06:13:48Z</dcterms:modified>
</cp:coreProperties>
</file>