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No.1)*</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Itron Inc.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465741106</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December 31, 2011</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3160" w:right="5059" w:firstLine="8"/>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 ] Rule 13d-1(d)</w:t>
      </w:r>
    </w:p>
    <w:p>
      <w:pPr>
        <w:jc w:val="both"/>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2,448,961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jc w:val="right"/>
              <w:ind w:right="21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1,788,670</w:t>
            </w:r>
          </w:p>
        </w:tc>
      </w:tr>
      <w:tr>
        <w:trPr>
          <w:trHeight w:val="203"/>
        </w:trPr>
        <w:tc>
          <w:tcPr>
            <w:tcW w:w="1540" w:type="dxa"/>
            <w:vAlign w:val="bottom"/>
          </w:tcPr>
          <w:p>
            <w:pPr>
              <w:spacing w:after="0"/>
              <w:rPr>
                <w:sz w:val="17"/>
                <w:szCs w:val="17"/>
                <w:color w:val="auto"/>
              </w:rPr>
            </w:pPr>
          </w:p>
        </w:tc>
        <w:tc>
          <w:tcPr>
            <w:tcW w:w="69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660,291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2,448,961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1999" w:hanging="952"/>
        <w:spacing w:after="0" w:line="235"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6.01% based on 40,732,045 outstanding common shares as per Form 10-Q</w:t>
      </w:r>
    </w:p>
    <w:p>
      <w:pPr>
        <w:ind w:left="960"/>
        <w:spacing w:after="0" w:line="238" w:lineRule="auto"/>
        <w:rPr>
          <w:sz w:val="20"/>
          <w:szCs w:val="20"/>
          <w:color w:val="auto"/>
        </w:rPr>
      </w:pPr>
      <w:r>
        <w:rPr>
          <w:rFonts w:ascii="Courier New" w:cs="Courier New" w:eastAsia="Courier New" w:hAnsi="Courier New"/>
          <w:sz w:val="18"/>
          <w:szCs w:val="18"/>
          <w:color w:val="auto"/>
        </w:rPr>
        <w:t>published on September 30, 2011.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OO</w:t>
      </w:r>
    </w:p>
    <w:p>
      <w:pPr>
        <w:sectPr>
          <w:pgSz w:w="11900" w:h="16838" w:orient="portrait"/>
          <w:cols w:equalWidth="0" w:num="1">
            <w:col w:w="10219"/>
          </w:cols>
          <w:pgMar w:left="240" w:top="136"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5800" w:type="dxa"/>
            <w:vAlign w:val="bottom"/>
            <w:gridSpan w:val="2"/>
          </w:tcPr>
          <w:p>
            <w:pPr>
              <w:spacing w:after="0"/>
              <w:rPr>
                <w:sz w:val="20"/>
                <w:szCs w:val="20"/>
                <w:color w:val="auto"/>
              </w:rPr>
            </w:pPr>
            <w:r>
              <w:rPr>
                <w:rFonts w:ascii="Courier New" w:cs="Courier New" w:eastAsia="Courier New" w:hAnsi="Courier New"/>
                <w:sz w:val="18"/>
                <w:szCs w:val="18"/>
                <w:color w:val="auto"/>
              </w:rPr>
              <w:t>CUSIP No.: 465741106</w:t>
            </w:r>
          </w:p>
        </w:tc>
        <w:tc>
          <w:tcPr>
            <w:tcW w:w="2740" w:type="dxa"/>
            <w:vAlign w:val="bottom"/>
          </w:tcPr>
          <w:p>
            <w:pPr>
              <w:ind w:left="960"/>
              <w:spacing w:after="0"/>
              <w:rPr>
                <w:sz w:val="20"/>
                <w:szCs w:val="20"/>
                <w:color w:val="auto"/>
              </w:rPr>
            </w:pPr>
            <w:r>
              <w:rPr>
                <w:rFonts w:ascii="Courier New" w:cs="Courier New" w:eastAsia="Courier New" w:hAnsi="Courier New"/>
                <w:sz w:val="18"/>
                <w:szCs w:val="18"/>
                <w:color w:val="auto"/>
                <w:w w:val="95"/>
              </w:rPr>
              <w:t>Page 3 of 5 Pages</w:t>
            </w: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Itron Inc. (the "Issuer").</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2111 N. Molter Road, Liberty Lake</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Washington 99019</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USA</w:t>
            </w:r>
          </w:p>
        </w:tc>
        <w:tc>
          <w:tcPr>
            <w:tcW w:w="2740" w:type="dxa"/>
            <w:vAlign w:val="bottom"/>
          </w:tcPr>
          <w:p>
            <w:pPr>
              <w:spacing w:after="0"/>
              <w:rPr>
                <w:sz w:val="17"/>
                <w:szCs w:val="17"/>
                <w:color w:val="auto"/>
              </w:rPr>
            </w:pPr>
          </w:p>
        </w:tc>
      </w:tr>
      <w:tr>
        <w:trPr>
          <w:trHeight w:val="608"/>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Name of Person Filing:</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This  Statement  is filed on behalf</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of each of the  following</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persons (collectively, the "Reporting Persons"):</w:t>
            </w: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w w:val="99"/>
              </w:rPr>
              <w:t>NORGES BANK (CENTRAL BANK OF NORWAY)</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Principal Business Office or, if None, Residence:</w:t>
            </w: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Bankplassen 2</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PO Box 1179 Sentrum</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 0107 Oslo</w:t>
            </w:r>
          </w:p>
        </w:tc>
        <w:tc>
          <w:tcPr>
            <w:tcW w:w="27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Norway</w:t>
            </w:r>
          </w:p>
        </w:tc>
        <w:tc>
          <w:tcPr>
            <w:tcW w:w="27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2740" w:type="dxa"/>
            <w:vAlign w:val="bottom"/>
          </w:tcPr>
          <w:p>
            <w:pPr>
              <w:spacing w:after="0"/>
              <w:rPr>
                <w:sz w:val="24"/>
                <w:szCs w:val="24"/>
                <w:color w:val="auto"/>
              </w:rPr>
            </w:pP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Norwegian</w:t>
            </w:r>
          </w:p>
        </w:tc>
        <w:tc>
          <w:tcPr>
            <w:tcW w:w="27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Title of Class of Securities:</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Common Stock</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465741106</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If This Statement is Filed Pursuant to ss.ss.240.13d-1(b) or</w:t>
            </w:r>
          </w:p>
        </w:tc>
      </w:tr>
      <w:tr>
        <w:trPr>
          <w:trHeight w:val="203"/>
        </w:trPr>
        <w:tc>
          <w:tcPr>
            <w:tcW w:w="1480" w:type="dxa"/>
            <w:vAlign w:val="bottom"/>
          </w:tcPr>
          <w:p>
            <w:pPr>
              <w:spacing w:after="0"/>
              <w:rPr>
                <w:sz w:val="17"/>
                <w:szCs w:val="17"/>
                <w:color w:val="auto"/>
              </w:rPr>
            </w:pPr>
          </w:p>
        </w:tc>
        <w:tc>
          <w:tcPr>
            <w:tcW w:w="4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240.13d-2(b) or (c),</w:t>
            </w:r>
          </w:p>
        </w:tc>
        <w:tc>
          <w:tcPr>
            <w:tcW w:w="2740" w:type="dxa"/>
            <w:vAlign w:val="bottom"/>
          </w:tcPr>
          <w:p>
            <w:pPr>
              <w:spacing w:after="0"/>
              <w:rPr>
                <w:sz w:val="17"/>
                <w:szCs w:val="17"/>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w w:val="97"/>
              </w:rPr>
              <w:t>Check Whether the Person Filing is a:</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This Item 3 is not applicable.</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Ownership:</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4(a)</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Amount Beneficially Owned</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As of December 31, 2011, Norges Bank may be deemed to be the</w:t>
            </w:r>
          </w:p>
        </w:tc>
      </w:tr>
      <w:tr>
        <w:trPr>
          <w:trHeight w:val="203"/>
        </w:trPr>
        <w:tc>
          <w:tcPr>
            <w:tcW w:w="1480" w:type="dxa"/>
            <w:vAlign w:val="bottom"/>
          </w:tcPr>
          <w:p>
            <w:pPr>
              <w:spacing w:after="0"/>
              <w:rPr>
                <w:sz w:val="17"/>
                <w:szCs w:val="17"/>
                <w:color w:val="auto"/>
              </w:rPr>
            </w:pPr>
          </w:p>
        </w:tc>
        <w:tc>
          <w:tcPr>
            <w:tcW w:w="706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beneficial owner of 2,448,961 common shares.</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4(b)</w:t>
            </w:r>
          </w:p>
        </w:tc>
        <w:tc>
          <w:tcPr>
            <w:tcW w:w="4320" w:type="dxa"/>
            <w:vAlign w:val="bottom"/>
          </w:tcPr>
          <w:p>
            <w:pPr>
              <w:ind w:left="420"/>
              <w:spacing w:after="0"/>
              <w:rPr>
                <w:sz w:val="20"/>
                <w:szCs w:val="20"/>
                <w:color w:val="auto"/>
              </w:rPr>
            </w:pPr>
            <w:r>
              <w:rPr>
                <w:rFonts w:ascii="Courier New" w:cs="Courier New" w:eastAsia="Courier New" w:hAnsi="Courier New"/>
                <w:sz w:val="18"/>
                <w:szCs w:val="18"/>
                <w:color w:val="auto"/>
              </w:rPr>
              <w:t>Percent of Class:</w:t>
            </w:r>
          </w:p>
        </w:tc>
        <w:tc>
          <w:tcPr>
            <w:tcW w:w="2740" w:type="dxa"/>
            <w:vAlign w:val="bottom"/>
          </w:tcPr>
          <w:p>
            <w:pPr>
              <w:spacing w:after="0"/>
              <w:rPr>
                <w:sz w:val="24"/>
                <w:szCs w:val="24"/>
                <w:color w:val="auto"/>
              </w:rPr>
            </w:pPr>
          </w:p>
        </w:tc>
      </w:tr>
      <w:tr>
        <w:trPr>
          <w:trHeight w:val="405"/>
        </w:trPr>
        <w:tc>
          <w:tcPr>
            <w:tcW w:w="1480" w:type="dxa"/>
            <w:vAlign w:val="bottom"/>
          </w:tcPr>
          <w:p>
            <w:pPr>
              <w:spacing w:after="0"/>
              <w:rPr>
                <w:sz w:val="24"/>
                <w:szCs w:val="24"/>
                <w:color w:val="auto"/>
              </w:rPr>
            </w:pPr>
          </w:p>
        </w:tc>
        <w:tc>
          <w:tcPr>
            <w:tcW w:w="70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8"/>
              </w:rPr>
              <w:t>The number of Shares which Norges Bank may be deemed to be the</w:t>
            </w:r>
          </w:p>
        </w:tc>
      </w:tr>
    </w:tbl>
    <w:p>
      <w:pPr>
        <w:spacing w:after="0" w:line="4" w:lineRule="exact"/>
        <w:rPr>
          <w:sz w:val="20"/>
          <w:szCs w:val="20"/>
          <w:color w:val="auto"/>
        </w:rPr>
      </w:pPr>
    </w:p>
    <w:p>
      <w:pPr>
        <w:ind w:left="1900" w:right="1579"/>
        <w:spacing w:after="0" w:line="235" w:lineRule="auto"/>
        <w:rPr>
          <w:sz w:val="20"/>
          <w:szCs w:val="20"/>
          <w:color w:val="auto"/>
        </w:rPr>
      </w:pPr>
      <w:r>
        <w:rPr>
          <w:rFonts w:ascii="Courier New" w:cs="Courier New" w:eastAsia="Courier New" w:hAnsi="Courier New"/>
          <w:sz w:val="18"/>
          <w:szCs w:val="18"/>
          <w:color w:val="auto"/>
        </w:rPr>
        <w:t>beneficial owner of constitutes approximately 6.01% of the total number of common shares outstanding.</w:t>
      </w:r>
    </w:p>
    <w:p>
      <w:pPr>
        <w:sectPr>
          <w:pgSz w:w="11900" w:h="16838" w:orient="portrait"/>
          <w:cols w:equalWidth="0" w:num="1">
            <w:col w:w="10219"/>
          </w:cols>
          <w:pgMar w:left="240" w:top="717" w:right="1440" w:bottom="1440" w:gutter="0" w:footer="0" w:header="0"/>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Page 4 of 5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4(c)</w:t>
      </w:r>
      <w:r>
        <w:rPr>
          <w:sz w:val="20"/>
          <w:szCs w:val="20"/>
          <w:color w:val="auto"/>
        </w:rPr>
        <w:tab/>
      </w:r>
      <w:r>
        <w:rPr>
          <w:rFonts w:ascii="Courier New" w:cs="Courier New" w:eastAsia="Courier New" w:hAnsi="Courier New"/>
          <w:sz w:val="16"/>
          <w:szCs w:val="16"/>
          <w:color w:val="auto"/>
        </w:rPr>
        <w:t>Number of Shares of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(i) Sole power to</w:t>
            </w:r>
          </w:p>
        </w:tc>
        <w:tc>
          <w:tcPr>
            <w:tcW w:w="4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vote or direct the vote:</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2,448,961</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(ii) Shared power</w:t>
            </w:r>
          </w:p>
        </w:tc>
        <w:tc>
          <w:tcPr>
            <w:tcW w:w="4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vote or direct the vote:</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0</w:t>
            </w: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(iii) Sole power to dispose</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or direct the disposition of:</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1,788,670</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(iv) Shared power</w:t>
            </w:r>
          </w:p>
        </w:tc>
        <w:tc>
          <w:tcPr>
            <w:tcW w:w="44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dispose or direct the disposition of:</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rPr>
              <w:t>660,291</w:t>
            </w:r>
          </w:p>
        </w:tc>
      </w:tr>
      <w:tr>
        <w:trPr>
          <w:trHeight w:val="608"/>
        </w:trPr>
        <w:tc>
          <w:tcPr>
            <w:tcW w:w="18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Ownership</w:t>
            </w: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Five Percent or Less of a Class:</w:t>
            </w:r>
          </w:p>
        </w:tc>
      </w:tr>
      <w:tr>
        <w:trPr>
          <w:trHeight w:val="405"/>
        </w:trPr>
        <w:tc>
          <w:tcPr>
            <w:tcW w:w="18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This item</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5 is not applicable.</w:t>
            </w:r>
          </w:p>
        </w:tc>
        <w:tc>
          <w:tcPr>
            <w:tcW w:w="1480" w:type="dxa"/>
            <w:vAlign w:val="bottom"/>
          </w:tcPr>
          <w:p>
            <w:pPr>
              <w:spacing w:after="0"/>
              <w:rPr>
                <w:sz w:val="24"/>
                <w:szCs w:val="24"/>
                <w:color w:val="auto"/>
              </w:rPr>
            </w:pPr>
          </w:p>
        </w:tc>
      </w:tr>
      <w:tr>
        <w:trPr>
          <w:trHeight w:val="608"/>
        </w:trPr>
        <w:tc>
          <w:tcPr>
            <w:tcW w:w="1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Ownership</w:t>
            </w:r>
          </w:p>
        </w:tc>
        <w:tc>
          <w:tcPr>
            <w:tcW w:w="4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7"/>
              </w:rPr>
              <w:t>of More than Five Percent on Behalf of Another</w:t>
            </w:r>
          </w:p>
        </w:tc>
      </w:tr>
      <w:tr>
        <w:trPr>
          <w:trHeight w:val="203"/>
        </w:trPr>
        <w:tc>
          <w:tcPr>
            <w:tcW w:w="1860" w:type="dxa"/>
            <w:vAlign w:val="bottom"/>
          </w:tcPr>
          <w:p>
            <w:pPr>
              <w:spacing w:after="0"/>
              <w:rPr>
                <w:sz w:val="17"/>
                <w:szCs w:val="17"/>
                <w:color w:val="auto"/>
              </w:rPr>
            </w:pPr>
          </w:p>
        </w:tc>
        <w:tc>
          <w:tcPr>
            <w:tcW w:w="1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3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186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Courier New" w:cs="Courier New" w:eastAsia="Courier New" w:hAnsi="Courier New"/>
                <w:sz w:val="18"/>
                <w:szCs w:val="18"/>
                <w:color w:val="auto"/>
              </w:rPr>
              <w:t>This Item</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6 is not applicable.</w:t>
            </w:r>
          </w:p>
        </w:tc>
        <w:tc>
          <w:tcPr>
            <w:tcW w:w="1480" w:type="dxa"/>
            <w:vAlign w:val="bottom"/>
          </w:tcPr>
          <w:p>
            <w:pPr>
              <w:spacing w:after="0"/>
              <w:rPr>
                <w:sz w:val="24"/>
                <w:szCs w:val="24"/>
                <w:color w:val="auto"/>
              </w:rPr>
            </w:pPr>
          </w:p>
        </w:tc>
      </w:tr>
    </w:tbl>
    <w:p>
      <w:pPr>
        <w:spacing w:after="0" w:line="207" w:lineRule="exact"/>
        <w:rPr>
          <w:sz w:val="20"/>
          <w:szCs w:val="20"/>
          <w:color w:val="auto"/>
        </w:rPr>
      </w:pPr>
    </w:p>
    <w:p>
      <w:pPr>
        <w:ind w:left="1900" w:right="1879" w:hanging="1895"/>
        <w:spacing w:after="0" w:line="236"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717"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NORGES BANK</w:t>
      </w:r>
    </w:p>
    <w:p>
      <w:pPr>
        <w:spacing w:after="0" w:line="238" w:lineRule="auto"/>
        <w:rPr>
          <w:sz w:val="20"/>
          <w:szCs w:val="20"/>
          <w:color w:val="auto"/>
        </w:rPr>
      </w:pPr>
      <w:r>
        <w:rPr>
          <w:rFonts w:ascii="Courier New" w:cs="Courier New" w:eastAsia="Courier New" w:hAnsi="Courier New"/>
          <w:sz w:val="18"/>
          <w:szCs w:val="18"/>
          <w:color w:val="auto"/>
        </w:rPr>
        <w:t>Date: February 15, 2012</w:t>
      </w:r>
    </w:p>
    <w:p>
      <w:pPr>
        <w:sectPr>
          <w:pgSz w:w="11900" w:h="16838" w:orient="portrait"/>
          <w:cols w:equalWidth="0" w:num="1">
            <w:col w:w="10219"/>
          </w:cols>
          <w:pgMar w:left="240" w:top="717" w:right="1440" w:bottom="1440" w:gutter="0" w:footer="0" w:header="0"/>
        </w:sectPr>
      </w:pPr>
    </w:p>
    <w:p>
      <w:pPr>
        <w:ind w:left="422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Jeanette Ronne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Jeanette Ronne</w:t>
      </w:r>
    </w:p>
    <w:p>
      <w:pPr>
        <w:spacing w:after="0" w:line="238" w:lineRule="auto"/>
        <w:rPr>
          <w:sz w:val="20"/>
          <w:szCs w:val="20"/>
          <w:color w:val="auto"/>
        </w:rPr>
      </w:pPr>
      <w:r>
        <w:rPr>
          <w:rFonts w:ascii="Courier New" w:cs="Courier New" w:eastAsia="Courier New" w:hAnsi="Courier New"/>
          <w:sz w:val="18"/>
          <w:szCs w:val="18"/>
          <w:color w:val="auto"/>
        </w:rPr>
        <w:t>Analyst</w:t>
      </w:r>
    </w:p>
    <w:sectPr>
      <w:pgSz w:w="11900" w:h="16838" w:orient="portrait"/>
      <w:cols w:equalWidth="0" w:num="2">
        <w:col w:w="4860" w:space="420"/>
        <w:col w:w="49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2]"/>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0"/>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2019-12-09T08:02:49Z</dcterms:created>
  <dcterms:modified xsi:type="dcterms:W3CDTF">2019-12-09T08:02:49Z</dcterms:modified>
</cp:coreProperties>
</file>