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509270</wp:posOffset>
            </wp:positionV>
            <wp:extent cx="7066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6628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-302895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8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500" w:hanging="307"/>
        <w:spacing w:after="0" w:line="212" w:lineRule="auto"/>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855" w:right="239" w:bottom="1440" w:gutter="0" w:footer="0" w:header="0"/>
        </w:sectPr>
      </w:pPr>
    </w:p>
    <w:p>
      <w:pPr>
        <w:spacing w:after="0" w:line="152"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00" w:space="720"/>
            <w:col w:w="3000"/>
          </w:cols>
          <w:pgMar w:left="240" w:top="855"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60" w:space="720"/>
            <w:col w:w="4140"/>
          </w:cols>
          <w:pgMar w:left="240" w:top="855"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x</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63"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0" w:type="dxa"/>
            <w:vAlign w:val="bottom"/>
          </w:tcPr>
          <w:p>
            <w:pPr>
              <w:ind w:left="400"/>
              <w:spacing w:after="0"/>
              <w:rPr>
                <w:sz w:val="20"/>
                <w:szCs w:val="20"/>
                <w:color w:val="auto"/>
              </w:rPr>
            </w:pPr>
            <w:r>
              <w:rPr>
                <w:rFonts w:ascii="Arial" w:cs="Arial" w:eastAsia="Arial" w:hAnsi="Arial"/>
                <w:sz w:val="14"/>
                <w:szCs w:val="14"/>
                <w:color w:val="auto"/>
              </w:rPr>
              <w:t>x</w:t>
            </w:r>
          </w:p>
        </w:tc>
        <w:tc>
          <w:tcPr>
            <w:tcW w:w="6600" w:type="dxa"/>
            <w:vAlign w:val="bottom"/>
          </w:tcPr>
          <w:p>
            <w:pPr>
              <w:ind w:left="450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20" w:type="dxa"/>
            <w:vAlign w:val="bottom"/>
          </w:tcPr>
          <w:p>
            <w:pPr>
              <w:ind w:left="400"/>
              <w:spacing w:after="0"/>
              <w:rPr>
                <w:sz w:val="20"/>
                <w:szCs w:val="20"/>
                <w:color w:val="auto"/>
              </w:rPr>
            </w:pPr>
            <w:r>
              <w:rPr>
                <w:rFonts w:ascii="Arial" w:cs="Arial" w:eastAsia="Arial" w:hAnsi="Arial"/>
                <w:sz w:val="14"/>
                <w:szCs w:val="14"/>
                <w:color w:val="auto"/>
              </w:rPr>
              <w:t>o</w:t>
            </w:r>
          </w:p>
        </w:tc>
        <w:tc>
          <w:tcPr>
            <w:tcW w:w="6600" w:type="dxa"/>
            <w:vAlign w:val="bottom"/>
          </w:tcPr>
          <w:p>
            <w:pPr>
              <w:ind w:left="20"/>
              <w:spacing w:after="0"/>
              <w:rPr>
                <w:sz w:val="20"/>
                <w:szCs w:val="20"/>
                <w:color w:val="auto"/>
              </w:rPr>
            </w:pPr>
            <w:r>
              <w:rPr>
                <w:rFonts w:ascii="Arial" w:cs="Arial" w:eastAsia="Arial" w:hAnsi="Arial"/>
                <w:sz w:val="14"/>
                <w:szCs w:val="14"/>
                <w:color w:val="auto"/>
              </w:rPr>
              <w:t>(Do not check if a smaller reporting company)</w:t>
            </w:r>
          </w:p>
        </w:tc>
        <w:tc>
          <w:tcPr>
            <w:tcW w:w="640" w:type="dxa"/>
            <w:vAlign w:val="bottom"/>
            <w:vMerge w:val="restart"/>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6600" w:type="dxa"/>
            <w:vAlign w:val="bottom"/>
          </w:tcPr>
          <w:p>
            <w:pPr>
              <w:ind w:left="4500"/>
              <w:spacing w:after="0"/>
              <w:rPr>
                <w:sz w:val="20"/>
                <w:szCs w:val="20"/>
                <w:color w:val="auto"/>
              </w:rPr>
            </w:pPr>
            <w:r>
              <w:rPr>
                <w:rFonts w:ascii="Arial" w:cs="Arial" w:eastAsia="Arial" w:hAnsi="Arial"/>
                <w:sz w:val="14"/>
                <w:szCs w:val="14"/>
                <w:color w:val="auto"/>
              </w:rPr>
              <w:t>Smaller reporting company</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8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30, 2016 (the last business day of the registrant’s most recently completed second fiscal quarter), the aggregate market value of the shares of common stock held by non-affiliates of the registrant (based on the closing price for the common stock on the NASDAQ Global Select Market) was $1,632,121,446.</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2017 there were outstanding 38,327,719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12,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218440</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132715</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4"/>
          </w:tcPr>
          <w:p>
            <w:pPr>
              <w:jc w:val="center"/>
              <w:ind w:right="36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0" w:type="dxa"/>
            <w:vAlign w:val="bottom"/>
            <w:gridSpan w:val="16"/>
          </w:tcPr>
          <w:p>
            <w:pPr>
              <w:jc w:val="center"/>
              <w:ind w:right="332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4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w:t>
            </w:r>
          </w:p>
        </w:tc>
        <w:tc>
          <w:tcPr>
            <w:tcW w:w="766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1A:</w:t>
            </w:r>
          </w:p>
        </w:tc>
        <w:tc>
          <w:tcPr>
            <w:tcW w:w="7660" w:type="dxa"/>
            <w:vAlign w:val="bottom"/>
            <w:gridSpan w:val="2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700" w:type="dxa"/>
            <w:vAlign w:val="bottom"/>
            <w:gridSpan w:val="2"/>
          </w:tcPr>
          <w:p>
            <w:pPr>
              <w:jc w:val="center"/>
              <w:ind w:left="510"/>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1B:</w:t>
            </w:r>
          </w:p>
        </w:tc>
        <w:tc>
          <w:tcPr>
            <w:tcW w:w="2800" w:type="dxa"/>
            <w:vAlign w:val="bottom"/>
            <w:gridSpan w:val="11"/>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UNRESOLVED STAFF COMMENTS</w:t>
              </w:r>
            </w:hyperlink>
          </w:p>
        </w:tc>
        <w:tc>
          <w:tcPr>
            <w:tcW w:w="48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2:</w:t>
            </w:r>
          </w:p>
        </w:tc>
        <w:tc>
          <w:tcPr>
            <w:tcW w:w="280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4860" w:type="dxa"/>
            <w:vAlign w:val="bottom"/>
            <w:gridSpan w:val="1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3:</w:t>
            </w:r>
          </w:p>
        </w:tc>
        <w:tc>
          <w:tcPr>
            <w:tcW w:w="7660" w:type="dxa"/>
            <w:vAlign w:val="bottom"/>
            <w:gridSpan w:val="2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4:</w:t>
            </w:r>
          </w:p>
        </w:tc>
        <w:tc>
          <w:tcPr>
            <w:tcW w:w="7660" w:type="dxa"/>
            <w:vAlign w:val="bottom"/>
            <w:gridSpan w:val="2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5:</w:t>
            </w:r>
          </w:p>
        </w:tc>
        <w:tc>
          <w:tcPr>
            <w:tcW w:w="760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9">
              <w:r>
                <w:rPr>
                  <w:rFonts w:ascii="Arial" w:cs="Arial" w:eastAsia="Arial" w:hAnsi="Arial"/>
                  <w:sz w:val="18"/>
                  <w:szCs w:val="18"/>
                  <w:color w:val="0000EE"/>
                  <w:w w:val="96"/>
                </w:rPr>
                <w:t>MARKET FOR REGISTRANT’S COMMON EQUITY, RELATED STOCKHOLDER MATTERS AND</w:t>
              </w:r>
            </w:hyperlink>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60" w:type="dxa"/>
            <w:vAlign w:val="bottom"/>
            <w:gridSpan w:val="16"/>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ISSUER PURCHASES OF EQUITY SECURITIES</w:t>
              </w:r>
            </w:hyperlink>
          </w:p>
        </w:tc>
        <w:tc>
          <w:tcPr>
            <w:tcW w:w="3900" w:type="dxa"/>
            <w:vAlign w:val="bottom"/>
            <w:gridSpan w:val="12"/>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17</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6:</w:t>
            </w:r>
          </w:p>
        </w:tc>
        <w:tc>
          <w:tcPr>
            <w:tcW w:w="3840" w:type="dxa"/>
            <w:vAlign w:val="bottom"/>
            <w:gridSpan w:val="17"/>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SELECTED CONSOLIDATED FINANCIAL DATA</w:t>
              </w:r>
            </w:hyperlink>
          </w:p>
        </w:tc>
        <w:tc>
          <w:tcPr>
            <w:tcW w:w="3820" w:type="dxa"/>
            <w:vAlign w:val="bottom"/>
            <w:gridSpan w:val="11"/>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7:</w:t>
            </w:r>
          </w:p>
        </w:tc>
        <w:tc>
          <w:tcPr>
            <w:tcW w:w="750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w:t>
              </w:r>
            </w:hyperlink>
          </w:p>
        </w:tc>
        <w:tc>
          <w:tcPr>
            <w:tcW w:w="1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4"/>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OF OPERATIONS</w:t>
              </w:r>
            </w:hyperlink>
          </w:p>
        </w:tc>
        <w:tc>
          <w:tcPr>
            <w:tcW w:w="6300" w:type="dxa"/>
            <w:vAlign w:val="bottom"/>
            <w:gridSpan w:val="24"/>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7A:</w:t>
            </w:r>
          </w:p>
        </w:tc>
        <w:tc>
          <w:tcPr>
            <w:tcW w:w="6140" w:type="dxa"/>
            <w:vAlign w:val="bottom"/>
            <w:gridSpan w:val="22"/>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QUANTITATIVE AND QUALITATIVE DISCLOSURES ABOUT MARKET RISK</w:t>
              </w:r>
            </w:hyperlink>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8:</w:t>
            </w:r>
          </w:p>
        </w:tc>
        <w:tc>
          <w:tcPr>
            <w:tcW w:w="4660" w:type="dxa"/>
            <w:vAlign w:val="bottom"/>
            <w:gridSpan w:val="20"/>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FINANCIAL STATEMENTS AND SUPPLEMENTARY DATA</w:t>
              </w:r>
            </w:hyperlink>
          </w:p>
        </w:tc>
        <w:tc>
          <w:tcPr>
            <w:tcW w:w="1480" w:type="dxa"/>
            <w:vAlign w:val="bottom"/>
            <w:gridSpan w:val="2"/>
          </w:tcPr>
          <w:p>
            <w:pPr>
              <w:spacing w:after="0"/>
              <w:rPr>
                <w:sz w:val="21"/>
                <w:szCs w:val="21"/>
                <w:color w:val="auto"/>
              </w:rPr>
            </w:pPr>
          </w:p>
        </w:tc>
        <w:tc>
          <w:tcPr>
            <w:tcW w:w="1520" w:type="dxa"/>
            <w:vAlign w:val="bottom"/>
            <w:gridSpan w:val="6"/>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60" w:type="dxa"/>
            <w:vAlign w:val="bottom"/>
            <w:gridSpan w:val="2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w:t>
              </w:r>
            </w:hyperlink>
          </w:p>
        </w:tc>
        <w:tc>
          <w:tcPr>
            <w:tcW w:w="3000" w:type="dxa"/>
            <w:vAlign w:val="bottom"/>
            <w:gridSpan w:val="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9"/>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Consolidated Statements of Comprehensive Income (Loss)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4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Consolidated Balance Sheets</w:t>
              </w:r>
            </w:hyperlink>
          </w:p>
        </w:tc>
        <w:tc>
          <w:tcPr>
            <w:tcW w:w="3420" w:type="dxa"/>
            <w:vAlign w:val="bottom"/>
            <w:gridSpan w:val="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40" w:type="dxa"/>
            <w:vAlign w:val="bottom"/>
            <w:gridSpan w:val="9"/>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Consolidated Statements of Equity</w:t>
              </w:r>
            </w:hyperlink>
          </w:p>
        </w:tc>
        <w:tc>
          <w:tcPr>
            <w:tcW w:w="5220" w:type="dxa"/>
            <w:vAlign w:val="bottom"/>
            <w:gridSpan w:val="19"/>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Statements of Cash Flows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6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Notes to Consolidated Financial Statements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w:t>
            </w:r>
          </w:p>
        </w:tc>
        <w:tc>
          <w:tcPr>
            <w:tcW w:w="7660" w:type="dxa"/>
            <w:vAlign w:val="bottom"/>
            <w:gridSpan w:val="28"/>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CHANGES IN AND DISAGREEMENTS WITH ACCOUNTANTS ON ACCOUNTING AND</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92">
              <w:r>
                <w:rPr>
                  <w:rFonts w:ascii="Arial" w:cs="Arial" w:eastAsia="Arial" w:hAnsi="Arial"/>
                  <w:sz w:val="18"/>
                  <w:szCs w:val="18"/>
                  <w:color w:val="0000EE"/>
                  <w:w w:val="97"/>
                </w:rPr>
                <w:t>FINANCIAL DISCLOSURE</w:t>
              </w:r>
            </w:hyperlink>
          </w:p>
        </w:tc>
        <w:tc>
          <w:tcPr>
            <w:tcW w:w="4800" w:type="dxa"/>
            <w:vAlign w:val="bottom"/>
            <w:tcBorders>
              <w:top w:val="single" w:sz="8" w:color="0000EE"/>
            </w:tcBorders>
            <w:gridSpan w:val="16"/>
          </w:tcPr>
          <w:p>
            <w:pPr>
              <w:spacing w:after="0"/>
              <w:rPr>
                <w:sz w:val="17"/>
                <w:szCs w:val="17"/>
                <w:color w:val="auto"/>
              </w:rPr>
            </w:pPr>
          </w:p>
        </w:tc>
        <w:tc>
          <w:tcPr>
            <w:tcW w:w="740" w:type="dxa"/>
            <w:vAlign w:val="bottom"/>
            <w:gridSpan w:val="4"/>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90</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9A:</w:t>
            </w:r>
          </w:p>
        </w:tc>
        <w:tc>
          <w:tcPr>
            <w:tcW w:w="2600" w:type="dxa"/>
            <w:vAlign w:val="bottom"/>
            <w:gridSpan w:val="10"/>
          </w:tcPr>
          <w:p>
            <w:pPr>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CONTROLS AND PROCEDURES</w:t>
              </w:r>
            </w:hyperlink>
          </w:p>
        </w:tc>
        <w:tc>
          <w:tcPr>
            <w:tcW w:w="5060" w:type="dxa"/>
            <w:vAlign w:val="bottom"/>
            <w:gridSpan w:val="1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90</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OTHER INFORMATION</w:t>
              </w:r>
            </w:hyperlink>
          </w:p>
        </w:tc>
        <w:tc>
          <w:tcPr>
            <w:tcW w:w="5060" w:type="dxa"/>
            <w:vAlign w:val="bottom"/>
            <w:gridSpan w:val="18"/>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93</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10:</w:t>
            </w:r>
          </w:p>
        </w:tc>
        <w:tc>
          <w:tcPr>
            <w:tcW w:w="5800" w:type="dxa"/>
            <w:vAlign w:val="bottom"/>
            <w:gridSpan w:val="21"/>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DIRECTORS, EXECUTIVE OFFICERS AND CORPORATE GOVERNANCE</w:t>
              </w:r>
            </w:hyperlink>
          </w:p>
        </w:tc>
        <w:tc>
          <w:tcPr>
            <w:tcW w:w="1860" w:type="dxa"/>
            <w:vAlign w:val="bottom"/>
            <w:gridSpan w:val="7"/>
          </w:tcPr>
          <w:p>
            <w:pPr>
              <w:spacing w:after="0"/>
              <w:rPr>
                <w:sz w:val="19"/>
                <w:szCs w:val="19"/>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11:</w:t>
            </w:r>
          </w:p>
        </w:tc>
        <w:tc>
          <w:tcPr>
            <w:tcW w:w="2440" w:type="dxa"/>
            <w:vAlign w:val="bottom"/>
            <w:gridSpan w:val="9"/>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EXECUTIVE COMPENSATION</w:t>
              </w:r>
            </w:hyperlink>
          </w:p>
        </w:tc>
        <w:tc>
          <w:tcPr>
            <w:tcW w:w="3360" w:type="dxa"/>
            <w:vAlign w:val="bottom"/>
            <w:gridSpan w:val="12"/>
          </w:tcPr>
          <w:p>
            <w:pPr>
              <w:spacing w:after="0"/>
              <w:rPr>
                <w:sz w:val="21"/>
                <w:szCs w:val="21"/>
                <w:color w:val="auto"/>
              </w:rPr>
            </w:pPr>
          </w:p>
        </w:tc>
        <w:tc>
          <w:tcPr>
            <w:tcW w:w="1860" w:type="dxa"/>
            <w:vAlign w:val="bottom"/>
            <w:gridSpan w:val="7"/>
          </w:tcPr>
          <w:p>
            <w:pPr>
              <w:spacing w:after="0"/>
              <w:rPr>
                <w:sz w:val="21"/>
                <w:szCs w:val="21"/>
                <w:color w:val="auto"/>
              </w:rPr>
            </w:pPr>
          </w:p>
        </w:tc>
        <w:tc>
          <w:tcPr>
            <w:tcW w:w="700" w:type="dxa"/>
            <w:vAlign w:val="bottom"/>
            <w:gridSpan w:val="2"/>
          </w:tcPr>
          <w:p>
            <w:pPr>
              <w:jc w:val="center"/>
              <w:ind w:left="430"/>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12:</w:t>
            </w:r>
          </w:p>
        </w:tc>
        <w:tc>
          <w:tcPr>
            <w:tcW w:w="716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SECURITY OWNERSHIP OF CERTAIN BENEFICIAL OWNERS AND MANAGEMENT AND</w:t>
              </w:r>
            </w:hyperlink>
          </w:p>
        </w:tc>
        <w:tc>
          <w:tcPr>
            <w:tcW w:w="500" w:type="dxa"/>
            <w:vAlign w:val="bottom"/>
            <w:gridSpan w:val="3"/>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60" w:type="dxa"/>
            <w:vAlign w:val="bottom"/>
            <w:gridSpan w:val="2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RELATED STOCKHOLDER MATTERS</w:t>
              </w:r>
            </w:hyperlink>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660" w:type="dxa"/>
            <w:vAlign w:val="bottom"/>
            <w:tcBorders>
              <w:left w:val="single" w:sz="8" w:color="0000EE"/>
            </w:tcBorders>
            <w:gridSpan w:val="9"/>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13:</w:t>
            </w:r>
          </w:p>
        </w:tc>
        <w:tc>
          <w:tcPr>
            <w:tcW w:w="7660" w:type="dxa"/>
            <w:vAlign w:val="bottom"/>
            <w:gridSpan w:val="2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CERTAIN RELATIONSHIPS AND RELATED TRANSACTIONS, AND DIRECTOR</w:t>
              </w:r>
            </w:hyperlink>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INDEPENDENCE</w:t>
              </w:r>
            </w:hyperlink>
          </w:p>
        </w:tc>
        <w:tc>
          <w:tcPr>
            <w:tcW w:w="1380" w:type="dxa"/>
            <w:vAlign w:val="bottom"/>
            <w:gridSpan w:val="5"/>
          </w:tcPr>
          <w:p>
            <w:pPr>
              <w:spacing w:after="0"/>
              <w:rPr>
                <w:sz w:val="17"/>
                <w:szCs w:val="17"/>
                <w:color w:val="auto"/>
              </w:rPr>
            </w:pPr>
          </w:p>
        </w:tc>
        <w:tc>
          <w:tcPr>
            <w:tcW w:w="700" w:type="dxa"/>
            <w:vAlign w:val="bottom"/>
            <w:gridSpan w:val="2"/>
          </w:tcPr>
          <w:p>
            <w:pPr>
              <w:jc w:val="center"/>
              <w:ind w:left="430"/>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95</w:t>
              </w:r>
            </w:hyperlink>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26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720" w:type="dxa"/>
            <w:vAlign w:val="bottom"/>
            <w:gridSpan w:val="10"/>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14:</w:t>
            </w:r>
          </w:p>
        </w:tc>
        <w:tc>
          <w:tcPr>
            <w:tcW w:w="7660" w:type="dxa"/>
            <w:vAlign w:val="bottom"/>
            <w:gridSpan w:val="28"/>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ACCOUNTING FEES AND SERVICES</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96</w:t>
              </w:r>
            </w:hyperlink>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760"/>
              <w:spacing w:after="0"/>
              <w:rPr>
                <w:sz w:val="20"/>
                <w:szCs w:val="20"/>
                <w:color w:val="auto"/>
              </w:rPr>
            </w:pPr>
            <w:r>
              <w:rPr>
                <w:rFonts w:ascii="Arial" w:cs="Arial" w:eastAsia="Arial" w:hAnsi="Arial"/>
                <w:sz w:val="18"/>
                <w:szCs w:val="18"/>
                <w:color w:val="auto"/>
              </w:rPr>
              <w:t>ITEM 15:</w:t>
            </w:r>
          </w:p>
        </w:tc>
        <w:tc>
          <w:tcPr>
            <w:tcW w:w="7660" w:type="dxa"/>
            <w:vAlign w:val="bottom"/>
            <w:gridSpan w:val="28"/>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 FINANCIAL STATEMENT SCHEDULE</w:t>
              </w:r>
            </w:hyperlink>
          </w:p>
        </w:tc>
        <w:tc>
          <w:tcPr>
            <w:tcW w:w="700" w:type="dxa"/>
            <w:vAlign w:val="bottom"/>
            <w:gridSpan w:val="2"/>
          </w:tcPr>
          <w:p>
            <w:pPr>
              <w:jc w:val="center"/>
              <w:ind w:left="430"/>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97</w:t>
              </w:r>
            </w:hyperlink>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gridSpan w:val="2"/>
            <w:vMerge w:val="restart"/>
          </w:tcPr>
          <w:p>
            <w:pPr>
              <w:spacing w:after="0"/>
              <w:rPr>
                <w:rFonts w:ascii="Arial" w:cs="Arial" w:eastAsia="Arial" w:hAnsi="Arial"/>
                <w:sz w:val="18"/>
                <w:szCs w:val="18"/>
                <w:b w:val="1"/>
                <w:bCs w:val="1"/>
                <w:color w:val="0000EE"/>
              </w:rPr>
            </w:pPr>
            <w:hyperlink w:anchor="page102">
              <w:r>
                <w:rPr>
                  <w:rFonts w:ascii="Arial" w:cs="Arial" w:eastAsia="Arial" w:hAnsi="Arial"/>
                  <w:sz w:val="18"/>
                  <w:szCs w:val="18"/>
                  <w:b w:val="1"/>
                  <w:bCs w:val="1"/>
                  <w:color w:val="0000EE"/>
                </w:rPr>
                <w:t>SIGNATURES</w:t>
              </w:r>
            </w:hyperlink>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02">
              <w:r>
                <w:rPr>
                  <w:rFonts w:ascii="Arial" w:cs="Arial" w:eastAsia="Arial" w:hAnsi="Arial"/>
                  <w:sz w:val="18"/>
                  <w:szCs w:val="18"/>
                  <w:color w:val="0000EE"/>
                  <w:w w:val="86"/>
                </w:rPr>
                <w:t>100</w:t>
              </w:r>
            </w:hyperlink>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20" w:type="dxa"/>
            <w:vAlign w:val="bottom"/>
            <w:gridSpan w:val="15"/>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4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3620" w:type="dxa"/>
            <w:vAlign w:val="bottom"/>
            <w:gridSpan w:val="15"/>
          </w:tcPr>
          <w:p>
            <w:pPr>
              <w:spacing w:after="0"/>
              <w:rPr>
                <w:rFonts w:ascii="Arial" w:cs="Arial" w:eastAsia="Arial" w:hAnsi="Arial"/>
                <w:sz w:val="18"/>
                <w:szCs w:val="18"/>
                <w:color w:val="0000EE"/>
                <w:w w:val="98"/>
              </w:rPr>
            </w:pPr>
            <w:hyperlink w:anchor="page103">
              <w:r>
                <w:rPr>
                  <w:rFonts w:ascii="Arial" w:cs="Arial" w:eastAsia="Arial" w:hAnsi="Arial"/>
                  <w:sz w:val="18"/>
                  <w:szCs w:val="18"/>
                  <w:color w:val="0000EE"/>
                  <w:w w:val="98"/>
                </w:rPr>
                <w:t>VALUATION AND QUALIFYING ACCOUNTS</w:t>
              </w:r>
            </w:hyperlink>
          </w:p>
        </w:tc>
        <w:tc>
          <w:tcPr>
            <w:tcW w:w="4040" w:type="dxa"/>
            <w:vAlign w:val="bottom"/>
            <w:gridSpan w:val="13"/>
          </w:tcPr>
          <w:p>
            <w:pPr>
              <w:spacing w:after="0"/>
              <w:rPr>
                <w:sz w:val="24"/>
                <w:szCs w:val="24"/>
                <w:color w:val="auto"/>
              </w:rPr>
            </w:pPr>
          </w:p>
        </w:tc>
        <w:tc>
          <w:tcPr>
            <w:tcW w:w="1280" w:type="dxa"/>
            <w:vAlign w:val="bottom"/>
            <w:gridSpan w:val="4"/>
          </w:tcPr>
          <w:p>
            <w:pPr>
              <w:jc w:val="center"/>
              <w:spacing w:after="0"/>
              <w:rPr>
                <w:rFonts w:ascii="Arial" w:cs="Arial" w:eastAsia="Arial" w:hAnsi="Arial"/>
                <w:sz w:val="18"/>
                <w:szCs w:val="18"/>
                <w:color w:val="0000EE"/>
                <w:w w:val="86"/>
              </w:rPr>
            </w:pPr>
            <w:hyperlink w:anchor="page103">
              <w:r>
                <w:rPr>
                  <w:rFonts w:ascii="Arial" w:cs="Arial" w:eastAsia="Arial" w:hAnsi="Arial"/>
                  <w:sz w:val="18"/>
                  <w:szCs w:val="18"/>
                  <w:color w:val="0000EE"/>
                  <w:w w:val="86"/>
                </w:rPr>
                <w:t>101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680"/>
          </w:cols>
          <w:pgMar w:left="620" w:top="364" w:right="5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litigation, and costs to deliver and implement network solutions, 4) our dependence on customers’ acceptance of new products and their performance, 5) competition, 6) changes in domestic and international laws and regulations, 7) changes in foreign currency exchange rates and interest rates, 8) international business risks, 9) our own and our customers’ or suppliers’ access to and cost of capital, 10) future business combinations, 11) implementation of restructuring projects, and 12)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http://www.sec.gov</w:t>
      </w:r>
      <w:r>
        <w:rPr>
          <w:rFonts w:ascii="Arial" w:cs="Arial" w:eastAsia="Arial" w:hAnsi="Arial"/>
          <w:sz w:val="17"/>
          <w:szCs w:val="17"/>
          <w:color w:val="auto"/>
        </w:rPr>
        <w:t>) and at the SEC’s Headquarters at 100 F Street, NE, Washington, DC 20549, or by calling 1-800-SEC-0330.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is among the leading technology and services companies dedicated to the resourceful use of electricity, natural gas, and water. We provide comprehensive solutions that measure, manage, and analyze energy and water use. Our broad product portfolio helps utilities responsibly and efficiently manage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increasing populations and resource consumption, there continues to be growing demand for electricity, natural gas, and water. This demand comes at a time when utilities are challenged by cost constraints, regulatory requirements, and environmental concerns. Our solution is to provide utilities with the knowledge they need to optimize their resources and to better understand and serve their customers - knowledge that gives their customers control over their energy and water needs and allows for better management and conservation of valuable resources.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incorporated in 1977 with a focus on meter reading technology. In 2004, we entered the electricity meter manufacturing business with the acquisition of Schlumberger Electricity Metering. In 2007, we expanded our presence in global meter manufacturing and systems with the acquisition of Actaris Metering Systems SA.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our major products, our markets, and our operating segments. Refer to Item 8: “Financial Statements and Supplementary Data” included in this Annual Report on Form 10-K for specific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offer solutions that enable electric and natural gas utilities to build smart grids to manage assets, secure revenue, lower operational costs, improve customer service, and enable demand response. Our solutions include standard meters and next-generation smart metering products, metering systems, and services, which ultimately empower and benefit consumers.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supply comprehensive solutions to address the unique challenges facing the water industry, including increasing demand and resource scarcity. We offer a complete product portfolio, including standard meters and smart metering products, systems, and services, for applications in the residential and commercial industrial markets for water and heat.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8"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We offer a portfolio of services to our customers from standalone services to end-to-end solutions. These include licensing meter data management and analytics software, managed services, software-as-a-service (hosted software), technical support services, licensing hardware technology, and consulting services.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metering systems into two categories: standard metering systems and smart metering solutions. These categories are described in more detail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Metering Systems</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Standard metering systems employ a standard meter, which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Metering Solutions</w:t>
      </w:r>
    </w:p>
    <w:p>
      <w:pPr>
        <w:spacing w:after="0" w:line="23" w:lineRule="exact"/>
        <w:rPr>
          <w:sz w:val="20"/>
          <w:szCs w:val="20"/>
          <w:color w:val="auto"/>
        </w:rPr>
      </w:pPr>
    </w:p>
    <w:p>
      <w:pPr>
        <w:jc w:val="both"/>
        <w:ind w:left="420"/>
        <w:spacing w:after="0" w:line="290" w:lineRule="auto"/>
        <w:rPr>
          <w:sz w:val="20"/>
          <w:szCs w:val="20"/>
          <w:color w:val="auto"/>
        </w:rPr>
      </w:pPr>
      <w:r>
        <w:rPr>
          <w:rFonts w:ascii="Arial" w:cs="Arial" w:eastAsia="Arial" w:hAnsi="Arial"/>
          <w:sz w:val="16"/>
          <w:szCs w:val="16"/>
          <w:color w:val="auto"/>
        </w:rPr>
        <w:t>Smart metering solutions employ meters or modules with one-way or two-way communication capability embedded in or attached to a meter to collect and store meter data, which is transmitted to handheld computers, mobile units, telephone, radio frequency (RF), cellular, power line carrier (PLC), fixed networks, or through adaptive communication technology (ACT). ACT enables dynamic selection of the optimal communications path, utilizing RF or PLC, based on network operating conditions, data attributes and application requirements. This allows utilities to collect and analyze meter data to optimize operations,, store interval data, remotely connect and disconnect service to the meter, send data, receive commands, and interface with other devices, such as in-home displays, smart thermostats and appliances, home area networks, and advanced control systems.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20" w:type="dxa"/>
            <w:vAlign w:val="bottom"/>
          </w:tcPr>
          <w:p>
            <w:pPr>
              <w:spacing w:after="0"/>
              <w:rPr>
                <w:sz w:val="18"/>
                <w:szCs w:val="18"/>
                <w:color w:val="auto"/>
              </w:rPr>
            </w:pPr>
          </w:p>
        </w:tc>
        <w:tc>
          <w:tcPr>
            <w:tcW w:w="2000" w:type="dxa"/>
            <w:vAlign w:val="bottom"/>
          </w:tcPr>
          <w:p>
            <w:pPr>
              <w:jc w:val="right"/>
              <w:ind w:right="499"/>
              <w:spacing w:after="0"/>
              <w:rPr>
                <w:sz w:val="20"/>
                <w:szCs w:val="20"/>
                <w:color w:val="auto"/>
              </w:rPr>
            </w:pPr>
            <w:r>
              <w:rPr>
                <w:rFonts w:ascii="Arial" w:cs="Arial" w:eastAsia="Arial" w:hAnsi="Arial"/>
                <w:sz w:val="16"/>
                <w:szCs w:val="16"/>
                <w:b w:val="1"/>
                <w:bCs w:val="1"/>
                <w:color w:val="auto"/>
              </w:rPr>
              <w:t>Annual Bookings</w:t>
            </w:r>
          </w:p>
        </w:tc>
        <w:tc>
          <w:tcPr>
            <w:tcW w:w="480" w:type="dxa"/>
            <w:vAlign w:val="bottom"/>
          </w:tcPr>
          <w:p>
            <w:pPr>
              <w:spacing w:after="0"/>
              <w:rPr>
                <w:sz w:val="18"/>
                <w:szCs w:val="18"/>
                <w:color w:val="auto"/>
              </w:rPr>
            </w:pPr>
          </w:p>
        </w:tc>
        <w:tc>
          <w:tcPr>
            <w:tcW w:w="1900" w:type="dxa"/>
            <w:vAlign w:val="bottom"/>
          </w:tcPr>
          <w:p>
            <w:pPr>
              <w:jc w:val="right"/>
              <w:ind w:right="599"/>
              <w:spacing w:after="0"/>
              <w:rPr>
                <w:sz w:val="20"/>
                <w:szCs w:val="20"/>
                <w:color w:val="auto"/>
              </w:rPr>
            </w:pPr>
            <w:r>
              <w:rPr>
                <w:rFonts w:ascii="Arial" w:cs="Arial" w:eastAsia="Arial" w:hAnsi="Arial"/>
                <w:sz w:val="16"/>
                <w:szCs w:val="16"/>
                <w:b w:val="1"/>
                <w:bCs w:val="1"/>
                <w:color w:val="auto"/>
              </w:rPr>
              <w:t>Total Backlog</w:t>
            </w:r>
          </w:p>
        </w:tc>
        <w:tc>
          <w:tcPr>
            <w:tcW w:w="400" w:type="dxa"/>
            <w:vAlign w:val="bottom"/>
          </w:tcPr>
          <w:p>
            <w:pPr>
              <w:spacing w:after="0"/>
              <w:rPr>
                <w:sz w:val="18"/>
                <w:szCs w:val="18"/>
                <w:color w:val="auto"/>
              </w:rPr>
            </w:pPr>
          </w:p>
        </w:tc>
        <w:tc>
          <w:tcPr>
            <w:tcW w:w="1960" w:type="dxa"/>
            <w:vAlign w:val="bottom"/>
          </w:tcPr>
          <w:p>
            <w:pPr>
              <w:jc w:val="right"/>
              <w:ind w:right="419"/>
              <w:spacing w:after="0"/>
              <w:rPr>
                <w:sz w:val="20"/>
                <w:szCs w:val="20"/>
                <w:color w:val="auto"/>
              </w:rPr>
            </w:pPr>
            <w:r>
              <w:rPr>
                <w:rFonts w:ascii="Arial" w:cs="Arial" w:eastAsia="Arial" w:hAnsi="Arial"/>
                <w:sz w:val="16"/>
                <w:szCs w:val="16"/>
                <w:b w:val="1"/>
                <w:bCs w:val="1"/>
                <w:color w:val="auto"/>
              </w:rPr>
              <w:t>12-Month 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December 31, 2015</w:t>
            </w:r>
          </w:p>
        </w:tc>
        <w:tc>
          <w:tcPr>
            <w:tcW w:w="320" w:type="dxa"/>
            <w:vAlign w:val="bottom"/>
          </w:tcPr>
          <w:p>
            <w:pPr>
              <w:spacing w:after="0"/>
              <w:rPr>
                <w:sz w:val="20"/>
                <w:szCs w:val="20"/>
                <w:color w:val="auto"/>
              </w:rPr>
            </w:pP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1,981</w:t>
            </w:r>
          </w:p>
        </w:tc>
        <w:tc>
          <w:tcPr>
            <w:tcW w:w="4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1,575</w:t>
            </w:r>
          </w:p>
        </w:tc>
        <w:tc>
          <w:tcPr>
            <w:tcW w:w="40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836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32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2,385</w:t>
            </w:r>
          </w:p>
        </w:tc>
        <w:tc>
          <w:tcPr>
            <w:tcW w:w="48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1,516</w:t>
            </w:r>
          </w:p>
        </w:tc>
        <w:tc>
          <w:tcPr>
            <w:tcW w:w="40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180"/>
              <w:spacing w:after="0"/>
              <w:rPr>
                <w:sz w:val="20"/>
                <w:szCs w:val="20"/>
                <w:color w:val="auto"/>
              </w:rPr>
            </w:pPr>
            <w:r>
              <w:rPr>
                <w:rFonts w:ascii="Arial" w:cs="Arial" w:eastAsia="Arial" w:hAnsi="Arial"/>
                <w:sz w:val="16"/>
                <w:szCs w:val="16"/>
                <w:b w:val="1"/>
                <w:bCs w:val="1"/>
                <w:color w:val="auto"/>
              </w:rPr>
              <w:t>Year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2,066</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1,013</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December 31, 2015</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1,981</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958</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577</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446</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2014</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2,385</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1,074</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753</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Sales and Distribution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large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single customer represented more than 10% of total revenues for the years ended December 31, 2016, 2015, and 2014. Our 10 largest customers in each of the years ended December 31, 2016, 2015, and 2014, accounted for approximately 31%, 22%, and 19% of total revenues,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require a wide variety of components and materials, which are subject to price and supply fluctuations. We enter into standard purchase orders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most of our material requirements, certain components and raw materials are supplied by sole-source vendors, and our ability to perform certain contracts depends on the availability of these materials. Refer to Item 1A: “Risk Factors”, included in this Annual Report on Form 10-K, for further discussion related to supply risks.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delivering products and systems to our customers, we may partner with third party vendors to provide hardware, software, or services, e.g., meter installation and communication network equipment and infrastructure. Our ability to perform on our contractual obligations with our customers is dependent on these partners meeting their obligations to 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development is focused on both improving existing technology and developing innovative new technology for electricity, natural gas, water and heat meters, sensing and control devices, data collection software, communication technologies, data warehousing, and software applications. We invested approximately $168 million, $162 million, and $176 million in product development in 2016, 2015 and 2014, which represented 8% of total revenues for 2016, and 9% of total revenues in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December 31, 2016, we had approximately 7,300 people in our workforce, including 6,200 permanent employees. We have not experienced significant work stoppages and consider our employee relations to be good.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provide a broad portfolio of products, solutions, software, and services to electric, gas, and water utility customers globally. Consequently, we operate within a large and complex competitive landscape. Some of our competitors have diversified product portfolios and participate in multiple geographic markets, while others focus on specific regional markets and/or certain types of products, including some low-cost suppliers based in China and India. Our competitors in China have an increasing presence in other markets around the world, however, this does not represent a major market share in any one of our global operating regions. Our competitors range from small to large established companies. Our primary competitors for each operating segment are discussed below.</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our competitive advantage is based on our in-depth knowledge of the utility industries, our capacity to innovate, our ability to provide complete end-to-end integrated solutions (including metering, network communications, data collection systems, meter data management software, and other metering software applications), our established customer relationships, and our track record of delivering reliable, accurate, and long-lived products and services. Refer to Item 1A: “Risk Factors” included in this Annual Report on Form 10-K for a discussion of the competitive pressures we face.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i w:val="1"/>
          <w:iCs w:val="1"/>
          <w:color w:val="auto"/>
        </w:rPr>
        <w:t>Electricity</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are among the leading global suppliers of electricity metering solutions, including standard meters and smart metering solutions. Within the electricity business line, our primary global competitors include Aclara (Sun Capital Partners), Elster (Honeywell International Inc.), Landis+Gyr (Toshiba Corporation), and Silver Spring Networks. On a regional basis, other major competitors include OSAKI Group, Sagemcom Energy &amp; Telecom (Charterhouse Capital Partners), Sensus (Xylem, Inc.), and Trilliant Networks.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Gas</w:t>
      </w:r>
    </w:p>
    <w:p>
      <w:pPr>
        <w:spacing w:after="0" w:line="23"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We are among the leading global suppliers of gas metering solutions, including standard meters and smart metering solutions. Our primary global competitor is Elster. On a regional basis, other major competitors include Aclara, Apator, Landis+Gyr, LAO Industria, and Sensus.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Water</w:t>
      </w:r>
    </w:p>
    <w:p>
      <w:pPr>
        <w:spacing w:after="0" w:line="2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are among the leading global suppliers of standard and smart water meters and communication modules. Our primary global competitors include Apator, Diehl Metering (Diehl Stiftung &amp; Co. KG), Elster, Sensus, and Zenner Performance (Zenner International GmbH &amp; Co. KG). On a regional basis, other major competitors include Badger Meter, LAO Industria, Kamstrup Water Metering L.L.C., and Neptune Technologies (Roper Technologies, Inc.).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patents and patent applications cover a range of technologies, which relate to standard metering, smart metering solutions and technology, meter data management software, and knowledge application solutions. We also rely on a combination of copyrights, patents,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28, 2017.</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W. Mark Schmitz</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Thomas L. Deitrich</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8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shd w:val="clear" w:color="auto" w:fill="CCEEFF"/>
          </w:tcPr>
          <w:p>
            <w:pPr>
              <w:spacing w:after="0"/>
              <w:rPr>
                <w:sz w:val="21"/>
                <w:szCs w:val="21"/>
                <w:color w:val="auto"/>
              </w:rPr>
            </w:pPr>
          </w:p>
        </w:tc>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Philip C. Mezey </w:t>
      </w:r>
      <w:r>
        <w:rPr>
          <w:rFonts w:ascii="Arial" w:cs="Arial" w:eastAsia="Arial" w:hAnsi="Arial"/>
          <w:sz w:val="17"/>
          <w:szCs w:val="17"/>
          <w:color w:val="auto"/>
        </w:rPr>
        <w:t>is President and Chief Executive Officer and a member of our Board of Directors. Mr. Mezey was appointed to his current position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Board of Directors in January 2013. Mr. Mezey joined Itron in March 2003, and in 2007 Mr. Mezey became Senior Vice President and Chief Operating Officer, Itron North America. Mr. Mezey served as President and Chief Operating Officer, Energy from March 2011 through December 2012.</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W. Mark Schmitz </w:t>
      </w:r>
      <w:r>
        <w:rPr>
          <w:rFonts w:ascii="Arial" w:cs="Arial" w:eastAsia="Arial" w:hAnsi="Arial"/>
          <w:sz w:val="18"/>
          <w:szCs w:val="18"/>
          <w:color w:val="auto"/>
        </w:rPr>
        <w:t>is Executive Vice President and Chief Financial Officer. Mr. Schmitz was appointed to this role in September 2014. Prior to joining Itron,</w:t>
      </w:r>
      <w:r>
        <w:rPr>
          <w:rFonts w:ascii="Arial" w:cs="Arial" w:eastAsia="Arial" w:hAnsi="Arial"/>
          <w:sz w:val="18"/>
          <w:szCs w:val="18"/>
          <w:b w:val="1"/>
          <w:bCs w:val="1"/>
          <w:color w:val="auto"/>
        </w:rPr>
        <w:t xml:space="preserve"> </w:t>
      </w:r>
      <w:r>
        <w:rPr>
          <w:rFonts w:ascii="Arial" w:cs="Arial" w:eastAsia="Arial" w:hAnsi="Arial"/>
          <w:sz w:val="18"/>
          <w:szCs w:val="18"/>
          <w:color w:val="auto"/>
        </w:rPr>
        <w:t>Mr. Schmitz was Chief Financial Officer of Alghanim Industries from 2009 to 2013. Mr. Schmitz served as the Executive Vice President and Chief Financial Officer of The Goodyear Tire and Rubber Company from 2007 to 2008 and as Vice President and Chief Financial Officer of Tyco International Limited's Fire and Security Segment from 2003 to 2007.</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Thomas L. Deitrich </w:t>
      </w:r>
      <w:r>
        <w:rPr>
          <w:rFonts w:ascii="Arial" w:cs="Arial" w:eastAsia="Arial" w:hAnsi="Arial"/>
          <w:sz w:val="16"/>
          <w:szCs w:val="16"/>
          <w:color w:val="auto"/>
        </w:rPr>
        <w:t>is Executive Vice President and Chief Operating Officer. Mr. Deitrich joined Itron in October 2015. From 2012 to September 2015, Mr.</w:t>
      </w:r>
      <w:r>
        <w:rPr>
          <w:rFonts w:ascii="Arial" w:cs="Arial" w:eastAsia="Arial" w:hAnsi="Arial"/>
          <w:sz w:val="16"/>
          <w:szCs w:val="16"/>
          <w:b w:val="1"/>
          <w:bCs w:val="1"/>
          <w:color w:val="auto"/>
        </w:rPr>
        <w:t xml:space="preserve"> </w:t>
      </w:r>
      <w:r>
        <w:rPr>
          <w:rFonts w:ascii="Arial" w:cs="Arial" w:eastAsia="Arial" w:hAnsi="Arial"/>
          <w:sz w:val="16"/>
          <w:szCs w:val="16"/>
          <w:color w:val="auto"/>
        </w:rPr>
        <w:t>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15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Shannon M. Votava </w:t>
      </w:r>
      <w:r>
        <w:rPr>
          <w:rFonts w:ascii="Arial" w:cs="Arial" w:eastAsia="Arial" w:hAnsi="Arial"/>
          <w:sz w:val="16"/>
          <w:szCs w:val="16"/>
          <w:color w:val="auto"/>
        </w:rPr>
        <w:t>is Senior Vice President, General Counsel and Corporate Secretary. Ms. Votava was promoted to this role in March 2016. Ms. Votava</w:t>
      </w:r>
      <w:r>
        <w:rPr>
          <w:rFonts w:ascii="Arial" w:cs="Arial" w:eastAsia="Arial" w:hAnsi="Arial"/>
          <w:sz w:val="16"/>
          <w:szCs w:val="16"/>
          <w:b w:val="1"/>
          <w:bCs w:val="1"/>
          <w:color w:val="auto"/>
        </w:rPr>
        <w:t xml:space="preserve"> </w:t>
      </w:r>
      <w:r>
        <w:rPr>
          <w:rFonts w:ascii="Arial" w:cs="Arial" w:eastAsia="Arial" w:hAnsi="Arial"/>
          <w:sz w:val="16"/>
          <w:szCs w:val="16"/>
          <w:color w:val="auto"/>
        </w:rPr>
        <w:t>joined Itron in May 2010 as Assistant General Counsel and was promoted to Vice President and General Counsel in January 2012. She assumed the responsibilities of Corporate Secretary in January 2013. Before joining Itron, Ms. Votava served as Associate General Counsel, Commercial at Cooper Industries plc from October 2008 to April 2010, and as General Counsel for Honeywell's Electronic Materials business from 2003 to 2008.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7" w:name="page8"/>
    <w:bookmarkEnd w:id="7"/>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competitive products.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success will depend, in part, on our ability to continue to design and manufacture new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competitive position, and the periods in which we incur significant product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biennial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 due to several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experienced variability in quarterly results, including losses, and believe our quarterly results will continue to fluctuate as a result of many factors, including those risks and events included throughout this section. Additional factors that may cause our results to vary include:</w:t>
      </w:r>
    </w:p>
    <w:p>
      <w:pPr>
        <w:spacing w:after="0" w:line="14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higher proportion of products sold with fewer features and functionality, resulting in lower revenues and gross margins;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shift in sales channel mix, which could impact the revenue received and commissions paid;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sales volumes, which could result in lower gross margins as driven by lower absorption of manufacturing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accounting standards or practices that may impact us to a greater degree than other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change in existing taxation rules or practices due to our specific operating structure that may not be comparable to other companies;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shortfall in sales without a proportional decrease in expenses.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If we failed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reduction of revenue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increasing 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expand their presence in our markets, improve their quality, or form alliances or cooperative relationships 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such meters may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security of the power grid and natural gas and water supply systems,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Negative publicity and consumer opposition may cause utilities or their regulators to delay or modify planned smart grid initiatives. Smart grid projects may be, or may be perceived as, unsuccessful.</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 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valuation allowances, and unanticipated tax liabilities could adversely affect our effective income tax rate and profitability.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Organization for Economic Cooperation and Development guidance under the Base Erosion and Profit Shifting (BEPS) initiatives aim to minimize perceived tax abuses and modernize global tax policy. More countries are beginning to implement legislative changes based on these BEPS recommendations. Additionally, proposed U.S. tax legislative reforms are wide ranging and include potential changes to the corporate income tax rate, altering the deductibility or timing of financing costs or capitalized assets, taxation of non-U.S. activities, as well as the impacts of proposed border adjusted destination based tax proposals. While it is not possible to predict what changes, if any, will become law, the uncertainty around these proposals and the impact to Itron’s effective tax rate could be material though at this time it is not possible to determine if it would be a benefit or detriment.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negative implications of such events for the global economy, may negatively impact our business, liquidity, operating results, and financial condition.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 negative impact on the global economy and our business, liquidity,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We depend on certain key vendors and components.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subassemblies, and system components are procured from limited sources. Our reliance on such limited sources involves certain risks, including the possibility of shortages and reduced control over delivery schedules, quality, costs, and our vendors’ access to capital upon acceptable terms. Any adverse change in the supply, or price, of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engage in future restructuring activities and incur additional charges in our efforts to improve profitability. We also may not achieve the anticipated savings and benefits from current or any future restructuring projects.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implemented multiple restructuring projects to adjust our cost structure, and we may engage in similar restructuring activities in the future. These restructuring activities reduce our available employee talent, assets, and other resources, which could slow product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changes in governmental policies, or failure to meet targeted improvements could change the timing or reduce the overall savings realized from the restructuring project.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significant intangible assets, long-lived assets, and goodwill that are susceptible to valuation adjustments as a result of changes in various factors or conditions, which could impact our results of operations or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Factors that could trigger an impairment of such assets include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financial condition, and cash flows.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are involved in litigation that arises from our business. In addition, these entities may bring claims against our customers, which, in some instances, could result in an indemnification of the customer.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 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smart metering solutions are typically Part 15 devices that transmit information to (and receive information from, if applicable) handheld, mobile, or fixed network systems pursuant to these rules.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information from, if applicable) handheld, mobile, or fixed network reading devices in license-exempt bands pursuant to rules regulating such use. In Europe, we generally use the 169 megahertz (MHz), 433 MHz, and 868 MHz bands. In the rest of the world, we primarily use the 433 MHz and 2.4000-2.4835 gigahertz (GHz) bands, as well as other local license-exempt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large part on the efforts of our highly qualified technical and management personnel and highly skilled individuals in all disciplines.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 of one or more of these employees and the inability to attract and retain qualified replacements could have a material adverse effect on our business.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breaches, we could be exposed to customer liability and reputational risk.</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various information technology systems to capture, process, store, and report data and interact with customers, vendors, and employees. Despite security steps we have taken to secure all information and transactions, our information technology systems, and those of our third-party providers, may be subject to cyber attacks. Any data breaches could result in misappropriation of data or disruption of operations. In addition, hardware and operating system software and applications that we procure from third parties may contain defects in design or manufacture that could interfere with the operation of the systems. Misuse of internal applications; theft of intellectual property, trade secrets, or other corporate assets; and inappropriate disclosure of confidential information could stem from such incidents.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have designed products and services that connect to and are part of the “Internet of Things.” While we attempt to provide adequate security measures to safeguard our products from cyber attacks, the potential for an attack remains. A successful attack may result in inappropriate access to information or an inability for our products to function properly.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negative publicity, or business delays and could have a material adverse effect on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Our credit facility limits our ability and the ability of many of our subsidiaries to take certain actions.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facility places restrictions on our ability, and the ability of many of our subsidiaries, dependent on meeting specified financial ratios, to, among other things: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bl>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credit facility contains other customary covenants, including the requirement to meet specified financial ratios and provide periodic financial reporting.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dependent on the degree to which we succeed in executing our business plans, which is influenced, in part, by general economic, financial, competitive, legislative, regulatory, counterparty, and other risks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complete additional acquisitions or make investments in the future, both within and outside of the United States.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incurrence of significant expenses to meet an acquiree's customer contractual commitments; lack of market acceptance of new services and technologies; or difficulties in operating businesses in international legal jurisdictions. Failure to properly or adequately address these issues could result in the diversion of management’s attention and resources and materially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w:t>
      </w:r>
    </w:p>
    <w:p>
      <w:pPr>
        <w:spacing w:after="0" w:line="16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failure to prepare and timely file our periodic reports with the SEC limits our access to the public markets to raise debt or equity capital.</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did not file our 2015 Annual Report on Form 10-K or our Quarterly Reports on Form 10-Q for the quarters ended March 31, 2016 and June 30, 2016 within the time frame required by SEC rules. As a result, we are currently ineligible to use SEC Form S-3, which is a short-form registration statement, to register our securities for public offer and sale, until we have timely filed all periodic reports under the Securities Exchange Act of 1934, as amended, for a period of twelve months from the due date of the last timely report. Our inability to use Form S-3 limits our ability to access the public capital markets rapidly, including in reaction to changing business needs or market conditions. While we may currently register an offering of our securities on Form S-1, doing so would likely increase transaction costs and adversely impact our ability to raise capital or complete any related transaction, such as an acquisition, in a timely manner. We filed our Quarterly Report on Form 10-Q for the quarter ended September 30, 2016 within the time frame required by SEC rules. We anticipate regaining eligibility to file SEC Form S-3 on November 9, 2017 assuming all periodic reports are filed within the time frames required by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7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August 2012, under the Dodd-Frank Wall Street Reform and Consumer Protection Act of 2010, the SEC adopted requirements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or not such metals originated from the Democratic Republic of Congo or adjoining countries and required due diligence efforts. There may be increased costs associated with complying with these disclosure requirements, including for diligence to determine the sources of conflict minerals used in our products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2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Gas and Water manufacturing facilities are located throughout the world, while our Electricity manufacturing facilities are located primarily in Europe, Middle East, and Africa (EMEA) and North America. The following table lists our major manufacturing facilities by the location and product line.</w:t>
      </w:r>
    </w:p>
    <w:p>
      <w:pPr>
        <w:spacing w:after="0" w:line="276"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60" w:type="dxa"/>
            <w:vAlign w:val="bottom"/>
            <w:tcBorders>
              <w:right w:val="single" w:sz="8" w:color="auto"/>
            </w:tcBorders>
          </w:tcPr>
          <w:p>
            <w:pPr>
              <w:spacing w:after="0"/>
              <w:rPr>
                <w:sz w:val="22"/>
                <w:szCs w:val="22"/>
                <w:color w:val="auto"/>
              </w:rPr>
            </w:pPr>
          </w:p>
        </w:tc>
        <w:tc>
          <w:tcPr>
            <w:tcW w:w="2400" w:type="dxa"/>
            <w:vAlign w:val="bottom"/>
            <w:tcBorders>
              <w:top w:val="single" w:sz="8" w:color="auto"/>
            </w:tcBorders>
          </w:tcPr>
          <w:p>
            <w:pPr>
              <w:spacing w:after="0"/>
              <w:rPr>
                <w:sz w:val="22"/>
                <w:szCs w:val="22"/>
                <w:color w:val="auto"/>
              </w:rPr>
            </w:pPr>
          </w:p>
        </w:tc>
        <w:tc>
          <w:tcPr>
            <w:tcW w:w="4780" w:type="dxa"/>
            <w:vAlign w:val="bottom"/>
            <w:tcBorders>
              <w:top w:val="single" w:sz="8" w:color="auto"/>
            </w:tcBorders>
            <w:gridSpan w:val="2"/>
          </w:tcPr>
          <w:p>
            <w:pPr>
              <w:ind w:left="1880"/>
              <w:spacing w:after="0"/>
              <w:rPr>
                <w:sz w:val="20"/>
                <w:szCs w:val="20"/>
                <w:color w:val="auto"/>
              </w:rPr>
            </w:pPr>
            <w:r>
              <w:rPr>
                <w:rFonts w:ascii="Arial" w:cs="Arial" w:eastAsia="Arial" w:hAnsi="Arial"/>
                <w:sz w:val="18"/>
                <w:szCs w:val="18"/>
                <w:b w:val="1"/>
                <w:bCs w:val="1"/>
                <w:color w:val="auto"/>
              </w:rPr>
              <w:t>Product Line</w:t>
            </w:r>
          </w:p>
        </w:tc>
        <w:tc>
          <w:tcPr>
            <w:tcW w:w="240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86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6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Region</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Electricity</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Gas</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Water</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Multiple Product Lines</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North America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Oconee, SC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Owenton, KY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Waseca, MN - G,W (L)</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Chasseneuil, France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Argenteuil, France (L)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Massy, France (L)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Godollo, Hungary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Reims, France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Macon, France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EMEA</w:t>
            </w: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Karlsruhe, Germany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Haguenau, France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Oldenburg, Germany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40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Asti, Italy (O)</w:t>
            </w:r>
          </w:p>
        </w:tc>
        <w:tc>
          <w:tcPr>
            <w:tcW w:w="2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Asia/Pacific</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Wujiang, China (L)</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Suzhou, China (L)</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Bekasi, Indonesia - E,W (O)</w:t>
            </w:r>
          </w:p>
        </w:tc>
        <w:tc>
          <w:tcPr>
            <w:tcW w:w="0" w:type="dxa"/>
            <w:vAlign w:val="bottom"/>
          </w:tcPr>
          <w:p>
            <w:pPr>
              <w:spacing w:after="0"/>
              <w:rPr>
                <w:sz w:val="1"/>
                <w:szCs w:val="1"/>
                <w:color w:val="auto"/>
              </w:rPr>
            </w:pPr>
          </w:p>
        </w:tc>
      </w:tr>
      <w:tr>
        <w:trPr>
          <w:trHeight w:val="108"/>
        </w:trPr>
        <w:tc>
          <w:tcPr>
            <w:tcW w:w="1860" w:type="dxa"/>
            <w:vAlign w:val="bottom"/>
            <w:tcBorders>
              <w:left w:val="single" w:sz="8" w:color="auto"/>
              <w:right w:val="single" w:sz="8" w:color="auto"/>
            </w:tcBorders>
            <w:vMerge w:val="continue"/>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Dehradun, India (L)</w:t>
            </w:r>
          </w:p>
        </w:tc>
        <w:tc>
          <w:tcPr>
            <w:tcW w:w="2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2380" w:type="dxa"/>
            <w:vAlign w:val="bottom"/>
            <w:tcBorders>
              <w:right w:val="single" w:sz="8" w:color="auto"/>
            </w:tcBorders>
            <w:vMerge w:val="continue"/>
          </w:tcPr>
          <w:p>
            <w:pPr>
              <w:spacing w:after="0"/>
              <w:rPr>
                <w:sz w:val="18"/>
                <w:szCs w:val="18"/>
                <w:color w:val="auto"/>
              </w:rPr>
            </w:pPr>
          </w:p>
        </w:tc>
        <w:tc>
          <w:tcPr>
            <w:tcW w:w="24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Latin America</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Buenos Aires, Argentina (O)</w:t>
            </w:r>
          </w:p>
        </w:tc>
        <w:tc>
          <w:tcPr>
            <w:tcW w:w="2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Americana, Brazil (O)</w:t>
            </w:r>
          </w:p>
        </w:tc>
        <w:tc>
          <w:tcPr>
            <w:tcW w:w="2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7"/>
        </w:trPr>
        <w:tc>
          <w:tcPr>
            <w:tcW w:w="1860" w:type="dxa"/>
            <w:vAlign w:val="bottom"/>
            <w:tcBorders>
              <w:left w:val="single" w:sz="8" w:color="auto"/>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 Manufacturing facility is owned</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Manufacturing facility is leased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 Electricity manufacturing facility, G - Gas manufacturing facility, W - Water manufacturing facility</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product development facilities, and distribution centers, which are located throughout the world.</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Please refer to Item 8: “Financial Statements and Supplementary Data, Note 12: Commitments and Contingencies” included in this Annual Report on Form 10-K. Except as described therein, there were no material pending legal proceedings, as defined by Item 103 of Regulation S-K, at December 31, 2016.</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40"/>
          </w:cols>
          <w:pgMar w:left="240" w:top="368" w:right="219" w:bottom="1440" w:gutter="0" w:footer="0" w:header="0"/>
        </w:sectPr>
      </w:pPr>
    </w:p>
    <w:bookmarkStart w:id="17" w:name="page18"/>
    <w:bookmarkEnd w:id="17"/>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634"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2016 and 2015 as reported by the NASDAQ Global Select Market.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89"/>
              </w:rPr>
              <w:t>2016</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89"/>
              </w:rPr>
              <w:t>2015</w:t>
            </w:r>
          </w:p>
        </w:tc>
        <w:tc>
          <w:tcPr>
            <w:tcW w:w="12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38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619"/>
              <w:spacing w:after="0"/>
              <w:rPr>
                <w:sz w:val="20"/>
                <w:szCs w:val="20"/>
                <w:color w:val="auto"/>
              </w:rPr>
            </w:pPr>
            <w:r>
              <w:rPr>
                <w:rFonts w:ascii="Arial" w:cs="Arial" w:eastAsia="Arial" w:hAnsi="Arial"/>
                <w:sz w:val="16"/>
                <w:szCs w:val="16"/>
                <w:b w:val="1"/>
                <w:bCs w:val="1"/>
                <w:color w:val="auto"/>
              </w:rPr>
              <w:t>Low</w:t>
            </w:r>
          </w:p>
        </w:tc>
      </w:tr>
      <w:tr>
        <w:trPr>
          <w:trHeight w:val="33"/>
        </w:trPr>
        <w:tc>
          <w:tcPr>
            <w:tcW w:w="42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35.05</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45.51</w:t>
            </w:r>
          </w:p>
        </w:tc>
        <w:tc>
          <w:tcPr>
            <w:tcW w:w="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37.81</w:t>
            </w: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34.44</w:t>
            </w: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56.23</w:t>
            </w:r>
          </w:p>
        </w:tc>
        <w:tc>
          <w:tcPr>
            <w:tcW w:w="6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65.75</w:t>
            </w:r>
          </w:p>
        </w:tc>
        <w:tc>
          <w:tcPr>
            <w:tcW w:w="6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51.90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37.53</w:t>
            </w: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31.75</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2016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83185</wp:posOffset>
            </wp:positionV>
            <wp:extent cx="5711190" cy="428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119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4420"/>
        <w:spacing w:after="0" w:line="277" w:lineRule="auto"/>
        <w:tabs>
          <w:tab w:leader="none" w:pos="1115"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invested on 12/31/11 in stock or index, including reinvestment of dividends. Fiscal years ending December 31.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4"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2011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2016 peer group includes the following publicly traded companies: Badger Meter, Inc., Echelon Corporation, National Instruments Corporation, Roper Technologies, Inc., and Silver Spring Networks,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shares of our common stock were repurchased during the quarter ended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2017, there were 218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20" w:name="page21"/>
    <w:bookmarkEnd w:id="20"/>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selected consolidated financial data below is derived from our consolidated financial statements. Information included in the table below from fiscal years 2013 through 2016 Consolidated Statements of Operations and Consolidated Statements of Cash Flows, and the Consolidated Balance Sheets for 2014 through 2016, have been audited by an independent registered public accounting firm.</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selected consolidated financial and other data represent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(5)</w:t>
            </w:r>
          </w:p>
        </w:tc>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2015</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r>
              <w:rPr>
                <w:rFonts w:ascii="Arial" w:cs="Arial" w:eastAsia="Arial" w:hAnsi="Arial"/>
                <w:sz w:val="21"/>
                <w:szCs w:val="21"/>
                <w:b w:val="1"/>
                <w:bCs w:val="1"/>
                <w:color w:val="auto"/>
                <w:vertAlign w:val="superscript"/>
              </w:rPr>
              <w:t>(4)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r>
              <w:rPr>
                <w:rFonts w:ascii="Arial" w:cs="Arial" w:eastAsia="Arial" w:hAnsi="Arial"/>
                <w:sz w:val="21"/>
                <w:szCs w:val="21"/>
                <w:b w:val="1"/>
                <w:bCs w:val="1"/>
                <w:color w:val="auto"/>
                <w:vertAlign w:val="superscript"/>
              </w:rPr>
              <w:t>(3)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2012</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Revenues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2,013,186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1,883,533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1,947,616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1,938,025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2,156,365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1,352,866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1,326,848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1,333,566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1,323,257</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1,448,753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660,320</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556,685</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614,050</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614,768</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707,612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96,211</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52,846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480</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(139,863)</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139,153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31,770</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12,678</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(23,670)</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(153,153)</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99,839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0.83</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0.82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0.33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(0.60)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38,207</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38,224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39,184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39,281</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38,643</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38,506</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39,184</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39,281</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39,934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Consolidated Balance Sheets Data</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319,420</w:t>
            </w:r>
          </w:p>
        </w:tc>
        <w:tc>
          <w:tcPr>
            <w:tcW w:w="3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281,166</w:t>
            </w:r>
          </w:p>
        </w:tc>
        <w:tc>
          <w:tcPr>
            <w:tcW w:w="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262,393</w:t>
            </w:r>
          </w:p>
        </w:tc>
        <w:tc>
          <w:tcPr>
            <w:tcW w:w="3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338,476</w:t>
            </w:r>
          </w:p>
        </w:tc>
        <w:tc>
          <w:tcPr>
            <w:tcW w:w="32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338,985</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shd w:val="clear" w:color="auto" w:fill="CCEEFF"/>
          </w:tcPr>
          <w:p>
            <w:pPr>
              <w:spacing w:after="0"/>
              <w:rPr>
                <w:sz w:val="6"/>
                <w:szCs w:val="6"/>
                <w:color w:val="auto"/>
              </w:rPr>
            </w:pPr>
          </w:p>
        </w:tc>
        <w:tc>
          <w:tcPr>
            <w:tcW w:w="26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360" w:type="dxa"/>
            <w:vAlign w:val="bottom"/>
            <w:tcBorders>
              <w:bottom w:val="single" w:sz="8" w:color="CCEEFF"/>
            </w:tcBorders>
            <w:vMerge w:val="continue"/>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vMerge w:val="continue"/>
            <w:shd w:val="clear" w:color="auto" w:fill="CCEEFF"/>
          </w:tcPr>
          <w:p>
            <w:pPr>
              <w:spacing w:after="0"/>
              <w:rPr>
                <w:sz w:val="6"/>
                <w:szCs w:val="6"/>
                <w:color w:val="auto"/>
              </w:rPr>
            </w:pPr>
          </w:p>
        </w:tc>
        <w:tc>
          <w:tcPr>
            <w:tcW w:w="1040" w:type="dxa"/>
            <w:vAlign w:val="bottom"/>
            <w:tcBorders>
              <w:bottom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320" w:type="dxa"/>
            <w:vAlign w:val="bottom"/>
            <w:tcBorders>
              <w:bottom w:val="single" w:sz="8" w:color="CCEEFF"/>
            </w:tcBorders>
            <w:vMerge w:val="continue"/>
            <w:shd w:val="clear" w:color="auto" w:fill="CCEEFF"/>
          </w:tcPr>
          <w:p>
            <w:pPr>
              <w:spacing w:after="0"/>
              <w:rPr>
                <w:sz w:val="6"/>
                <w:szCs w:val="6"/>
                <w:color w:val="auto"/>
              </w:rPr>
            </w:pPr>
          </w:p>
        </w:tc>
        <w:tc>
          <w:tcPr>
            <w:tcW w:w="100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(6)</w:t>
            </w:r>
          </w:p>
        </w:tc>
        <w:tc>
          <w:tcPr>
            <w:tcW w:w="26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1,577,811</w:t>
            </w:r>
          </w:p>
        </w:tc>
        <w:tc>
          <w:tcPr>
            <w:tcW w:w="360" w:type="dxa"/>
            <w:vAlign w:val="bottom"/>
          </w:tcPr>
          <w:p>
            <w:pPr>
              <w:spacing w:after="0"/>
              <w:rPr>
                <w:sz w:val="23"/>
                <w:szCs w:val="23"/>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1,680,316</w:t>
            </w:r>
          </w:p>
        </w:tc>
        <w:tc>
          <w:tcPr>
            <w:tcW w:w="32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1,751,085</w:t>
            </w:r>
          </w:p>
        </w:tc>
        <w:tc>
          <w:tcPr>
            <w:tcW w:w="34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1,906,025</w:t>
            </w:r>
          </w:p>
        </w:tc>
        <w:tc>
          <w:tcPr>
            <w:tcW w:w="3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2,109,134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Total debt </w:t>
            </w:r>
            <w:r>
              <w:rPr>
                <w:rFonts w:ascii="Arial" w:cs="Arial" w:eastAsia="Arial" w:hAnsi="Arial"/>
                <w:sz w:val="21"/>
                <w:szCs w:val="21"/>
                <w:color w:val="auto"/>
                <w:vertAlign w:val="superscript"/>
              </w:rPr>
              <w:t>(6)</w:t>
            </w: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304,523</w:t>
            </w:r>
          </w:p>
        </w:tc>
        <w:tc>
          <w:tcPr>
            <w:tcW w:w="3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370,165</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323,307</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377,596</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415,809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Itron, Inc. shareholders' equity</w:t>
            </w:r>
          </w:p>
        </w:tc>
        <w:tc>
          <w:tcPr>
            <w:tcW w:w="26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631,604</w:t>
            </w:r>
          </w:p>
        </w:tc>
        <w:tc>
          <w:tcPr>
            <w:tcW w:w="3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604,758</w:t>
            </w:r>
          </w:p>
        </w:tc>
        <w:tc>
          <w:tcPr>
            <w:tcW w:w="320" w:type="dxa"/>
            <w:vAlign w:val="bottom"/>
          </w:tcPr>
          <w:p>
            <w:pPr>
              <w:spacing w:after="0"/>
              <w:rPr>
                <w:sz w:val="20"/>
                <w:szCs w:val="20"/>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681,001</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839,011</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982,253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Other Financial Data</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115,842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73,350</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132,973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105,421</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205,090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(47,528)</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(48,951)</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(41,496)</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(56,771)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(125,445)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(63,023)</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7,740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(91,877)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(57,438)</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(77,528)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(43,543)</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(43,918)</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(44,495)</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(60,020)</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(50,543)</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Working capital represents current assets less current liabilities.</w:t>
      </w:r>
    </w:p>
    <w:p>
      <w:pPr>
        <w:spacing w:after="0" w:line="74" w:lineRule="exact"/>
        <w:rPr>
          <w:rFonts w:ascii="Arial" w:cs="Arial" w:eastAsia="Arial" w:hAnsi="Arial"/>
          <w:sz w:val="22"/>
          <w:szCs w:val="22"/>
          <w:color w:val="auto"/>
          <w:vertAlign w:val="superscript"/>
        </w:rPr>
      </w:pPr>
    </w:p>
    <w:p>
      <w:pPr>
        <w:ind w:left="340" w:hanging="332"/>
        <w:spacing w:after="0" w:line="211"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On May 1, 2012, we completed our acquisition of SmartSynch, Inc. for $77.7 million in cash (net of $6.7 million of cash and cash equivalents acquired).</w:t>
      </w:r>
    </w:p>
    <w:p>
      <w:pPr>
        <w:spacing w:after="0" w:line="9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2013, we incurred a goodwill impairment charge of $174.2 million. In addition, we incurred costs of $36.3 million in 2013 related to restructuring projects to increase efficiency.</w:t>
      </w:r>
    </w:p>
    <w:p>
      <w:pPr>
        <w:spacing w:after="0" w:line="52"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During 2014, we incurred costs of $49.5 million related to restructuring projects to improve operational efficiencies and reduce expenses. Refer to Item 8: “Financial</w:t>
      </w:r>
    </w:p>
    <w:p>
      <w:pPr>
        <w:ind w:left="340"/>
        <w:spacing w:after="0"/>
        <w:rPr>
          <w:rFonts w:ascii="Arial" w:cs="Arial" w:eastAsia="Arial" w:hAnsi="Arial"/>
          <w:sz w:val="21"/>
          <w:szCs w:val="21"/>
          <w:color w:val="auto"/>
          <w:vertAlign w:val="superscript"/>
        </w:rPr>
      </w:pPr>
      <w:r>
        <w:rPr>
          <w:rFonts w:ascii="Arial" w:cs="Arial" w:eastAsia="Arial" w:hAnsi="Arial"/>
          <w:sz w:val="15"/>
          <w:szCs w:val="15"/>
          <w:color w:val="auto"/>
        </w:rPr>
        <w:t>Statements and Supplementary Data, Note 13: Restructuring” included in this Annual Report on Form 10-K for further disclosures regarding the restructuring charges.</w:t>
      </w:r>
    </w:p>
    <w:p>
      <w:pPr>
        <w:spacing w:after="0" w:line="110" w:lineRule="exact"/>
        <w:rPr>
          <w:rFonts w:ascii="Arial" w:cs="Arial" w:eastAsia="Arial" w:hAnsi="Arial"/>
          <w:sz w:val="21"/>
          <w:szCs w:val="21"/>
          <w:color w:val="auto"/>
          <w:vertAlign w:val="superscript"/>
        </w:rPr>
      </w:pPr>
    </w:p>
    <w:p>
      <w:pPr>
        <w:jc w:val="both"/>
        <w:ind w:left="340" w:right="2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During 2016, we incurred costs of $49.1 million related to restructuring projects to restructure various company activities in order to improve operational efficiencies, reduce expenses and improve competiveness. Refer to Item 8: “Financial Statements and Supplementary Data, Note 13: Restructuring” included in this Annual Report on Form 10-K for further disclosures regarding the restructuring charges.</w:t>
      </w:r>
    </w:p>
    <w:p>
      <w:pPr>
        <w:spacing w:after="0" w:line="93" w:lineRule="exact"/>
        <w:rPr>
          <w:rFonts w:ascii="Arial" w:cs="Arial" w:eastAsia="Arial" w:hAnsi="Arial"/>
          <w:sz w:val="22"/>
          <w:szCs w:val="22"/>
          <w:color w:val="auto"/>
          <w:vertAlign w:val="superscript"/>
        </w:rPr>
      </w:pPr>
    </w:p>
    <w:p>
      <w:pPr>
        <w:jc w:val="both"/>
        <w:ind w:left="340" w:hanging="332"/>
        <w:spacing w:after="0" w:line="225"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 xml:space="preserve">Total assets and total debt for all periods presented were adjusted for the adoption of Accounting Standards Update 2015-03, </w:t>
      </w:r>
      <w:r>
        <w:rPr>
          <w:rFonts w:ascii="Arial" w:cs="Arial" w:eastAsia="Arial" w:hAnsi="Arial"/>
          <w:sz w:val="16"/>
          <w:szCs w:val="16"/>
          <w:i w:val="1"/>
          <w:iCs w:val="1"/>
          <w:color w:val="auto"/>
        </w:rPr>
        <w:t>Interest - Imputation of Interest</w:t>
      </w:r>
      <w:r>
        <w:rPr>
          <w:rFonts w:ascii="Arial" w:cs="Arial" w:eastAsia="Arial" w:hAnsi="Arial"/>
          <w:sz w:val="16"/>
          <w:szCs w:val="16"/>
          <w:color w:val="auto"/>
        </w:rPr>
        <w:t>. Refer to Item 8: “Financial Statements and Supplementary Data, Note 1: Summary of Significant Accounting Policies” included in this Annual Report on Form 10-K for further disclosures regarding accounting pronouncements.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1" w:name="page22"/>
    <w:bookmarkEnd w:id="21"/>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 included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technology company, offering end-to-end solutions to enhance productivity and efficiency, primarily focused on utilities and municipalities around to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maintain responsiveness to the market.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38-40 for information about these non-GAAP measures and the detailed reconciliation of items that impacted free cash flow, non-GAAP operating expenses, non-GAAP operating income, non-GAAP net income, adjusted EBITDA, and non-GAAP diluted EPS in the presented periods.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Total Company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Highlights and significant developments for the twelve months ended December 31, 2016</w:t>
      </w:r>
    </w:p>
    <w:p>
      <w:pPr>
        <w:spacing w:after="0" w:line="225" w:lineRule="exact"/>
        <w:rPr>
          <w:sz w:val="20"/>
          <w:szCs w:val="20"/>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Revenues were $2.0 billion compared with $1.9 billion in the same period last year, an increase of $129.7 million, or 7%.</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6"/>
          <w:szCs w:val="16"/>
          <w:color w:val="222222"/>
        </w:rPr>
      </w:pPr>
      <w:r>
        <w:rPr>
          <w:rFonts w:ascii="Arial" w:cs="Arial" w:eastAsia="Arial" w:hAnsi="Arial"/>
          <w:sz w:val="16"/>
          <w:szCs w:val="16"/>
          <w:color w:val="222222"/>
        </w:rPr>
        <w:t>Gross margin was 32.8% compared with 29.6% in the same period last year. The increase of 320 basis points included improvements in all segments.</w:t>
      </w:r>
    </w:p>
    <w:p>
      <w:pPr>
        <w:spacing w:after="0" w:line="248" w:lineRule="exact"/>
        <w:rPr>
          <w:rFonts w:ascii="Arial" w:cs="Arial" w:eastAsia="Arial" w:hAnsi="Arial"/>
          <w:sz w:val="16"/>
          <w:szCs w:val="16"/>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Operating expenses were $60.3 million higher compared with the same period last year, primarily due to increased restructuring expense.</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auto"/>
        </w:rPr>
        <w:t>Net income attributable to Itron, Inc. was $31.8 million compared with $12.7 million for the same period in 2015.</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increased $99.1 million, or 91% compared with the same period in 2015.</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22222"/>
        </w:rPr>
        <w:t xml:space="preserve">GAAP diluted EPS </w:t>
      </w:r>
      <w:r>
        <w:rPr>
          <w:rFonts w:ascii="Arial" w:cs="Arial" w:eastAsia="Arial" w:hAnsi="Arial"/>
          <w:sz w:val="18"/>
          <w:szCs w:val="18"/>
          <w:color w:val="000000"/>
        </w:rPr>
        <w:t>was $0.82, a $0.49 improvement compared with the same period in 2015.</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222222"/>
        </w:rPr>
        <w:t>Non-GAAP diluted EPS improved $1.81 to $2.54 compared with the same period last year.</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9"/>
        </w:numPr>
        <w:rPr>
          <w:rFonts w:ascii="Arial" w:cs="Arial" w:eastAsia="Arial" w:hAnsi="Arial"/>
          <w:sz w:val="18"/>
          <w:szCs w:val="18"/>
          <w:color w:val="222222"/>
        </w:rPr>
      </w:pPr>
      <w:r>
        <w:rPr>
          <w:rFonts w:ascii="Arial" w:cs="Arial" w:eastAsia="Arial" w:hAnsi="Arial"/>
          <w:sz w:val="18"/>
          <w:szCs w:val="18"/>
          <w:color w:val="222222"/>
        </w:rPr>
        <w:t>Total backlog was $1.7 billion and twelve-month backlog was $761 million at December 31, 2016.</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2016 Projects. We recognized $47.8 million of restructuring expense related to the 2016 Projects during the year ended December 31, 2016.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substantially complete the 2016 Projects by the end of 2018. Many of the affected employees are represented by unions or works councils, which requires consultation, and potential restructuring projects may be subject to regulatory approval, both of which could impact the timing of charges, total expected charges, costs recognized, and planned savings in certain jurisdictions. We estimate pre-tax restructuring charges of approximately $68 million, with expected annualized savings of approximately $40 million upon completion.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8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1"/>
              </w:rPr>
              <w:t>Year Ended December 31,</w:t>
            </w: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 Change</w:t>
            </w:r>
          </w:p>
        </w:tc>
        <w:tc>
          <w:tcPr>
            <w:tcW w:w="480" w:type="dxa"/>
            <w:vAlign w:val="bottom"/>
          </w:tcPr>
          <w:p>
            <w:pPr>
              <w:spacing w:after="0"/>
              <w:rPr>
                <w:sz w:val="20"/>
                <w:szCs w:val="20"/>
                <w:color w:val="auto"/>
              </w:rPr>
            </w:pPr>
          </w:p>
        </w:tc>
        <w:tc>
          <w:tcPr>
            <w:tcW w:w="1500" w:type="dxa"/>
            <w:vAlign w:val="bottom"/>
          </w:tcPr>
          <w:p>
            <w:pPr>
              <w:jc w:val="center"/>
              <w:ind w:right="619"/>
              <w:spacing w:after="0"/>
              <w:rPr>
                <w:sz w:val="20"/>
                <w:szCs w:val="20"/>
                <w:color w:val="auto"/>
              </w:rPr>
            </w:pPr>
            <w:r>
              <w:rPr>
                <w:rFonts w:ascii="Arial" w:cs="Arial" w:eastAsia="Arial" w:hAnsi="Arial"/>
                <w:sz w:val="16"/>
                <w:szCs w:val="16"/>
                <w:b w:val="1"/>
                <w:bCs w:val="1"/>
                <w:color w:val="auto"/>
                <w:w w:val="89"/>
              </w:rPr>
              <w:t>2015</w:t>
            </w:r>
          </w:p>
        </w:tc>
        <w:tc>
          <w:tcPr>
            <w:tcW w:w="1360" w:type="dxa"/>
            <w:vAlign w:val="bottom"/>
          </w:tcPr>
          <w:p>
            <w:pPr>
              <w:jc w:val="right"/>
              <w:ind w:right="379"/>
              <w:spacing w:after="0"/>
              <w:rPr>
                <w:sz w:val="20"/>
                <w:szCs w:val="20"/>
                <w:color w:val="auto"/>
              </w:rPr>
            </w:pPr>
            <w:r>
              <w:rPr>
                <w:rFonts w:ascii="Arial" w:cs="Arial" w:eastAsia="Arial" w:hAnsi="Arial"/>
                <w:sz w:val="16"/>
                <w:szCs w:val="16"/>
                <w:b w:val="1"/>
                <w:bCs w:val="1"/>
                <w:color w:val="auto"/>
              </w:rPr>
              <w:t>% Change</w:t>
            </w:r>
          </w:p>
        </w:tc>
        <w:tc>
          <w:tcPr>
            <w:tcW w:w="4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7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90"/>
              </w:rPr>
              <w:t>(in thousands, except margin and per share data)</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400" w:type="dxa"/>
            <w:vAlign w:val="bottom"/>
            <w:gridSpan w:val="6"/>
          </w:tcPr>
          <w:p>
            <w:pPr>
              <w:ind w:left="40"/>
              <w:spacing w:after="0"/>
              <w:rPr>
                <w:sz w:val="20"/>
                <w:szCs w:val="20"/>
                <w:color w:val="auto"/>
              </w:rPr>
            </w:pPr>
            <w:r>
              <w:rPr>
                <w:rFonts w:ascii="Arial" w:cs="Arial" w:eastAsia="Arial" w:hAnsi="Arial"/>
                <w:sz w:val="16"/>
                <w:szCs w:val="16"/>
                <w:b w:val="1"/>
                <w:bCs w:val="1"/>
                <w:color w:val="auto"/>
              </w:rPr>
              <w:t>GAAP</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1"/>
        </w:trPr>
        <w:tc>
          <w:tcPr>
            <w:tcW w:w="4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2,013,186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1,883,533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1,947,616</w:t>
            </w: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660,320</w:t>
            </w:r>
          </w:p>
        </w:tc>
        <w:tc>
          <w:tcPr>
            <w:tcW w:w="1400" w:type="dxa"/>
            <w:vAlign w:val="bottom"/>
          </w:tcPr>
          <w:p>
            <w:pPr>
              <w:jc w:val="right"/>
              <w:spacing w:after="0"/>
              <w:rPr>
                <w:sz w:val="20"/>
                <w:szCs w:val="20"/>
                <w:color w:val="auto"/>
              </w:rPr>
            </w:pPr>
            <w:r>
              <w:rPr>
                <w:rFonts w:ascii="Arial" w:cs="Arial" w:eastAsia="Arial" w:hAnsi="Arial"/>
                <w:sz w:val="16"/>
                <w:szCs w:val="16"/>
                <w:color w:val="auto"/>
              </w:rPr>
              <w:t>19 %</w:t>
            </w:r>
          </w:p>
        </w:tc>
        <w:tc>
          <w:tcPr>
            <w:tcW w:w="480" w:type="dxa"/>
            <w:vAlign w:val="bottom"/>
          </w:tcPr>
          <w:p>
            <w:pPr>
              <w:spacing w:after="0"/>
              <w:rPr>
                <w:sz w:val="20"/>
                <w:szCs w:val="20"/>
                <w:color w:val="auto"/>
              </w:rPr>
            </w:pP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556,685</w:t>
            </w:r>
          </w:p>
        </w:tc>
        <w:tc>
          <w:tcPr>
            <w:tcW w:w="136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614,050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564,109</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503,839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613,570</w:t>
            </w: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20"/>
                <w:szCs w:val="20"/>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96,211</w:t>
            </w:r>
          </w:p>
        </w:tc>
        <w:tc>
          <w:tcPr>
            <w:tcW w:w="1400" w:type="dxa"/>
            <w:vAlign w:val="bottom"/>
          </w:tcPr>
          <w:p>
            <w:pPr>
              <w:jc w:val="right"/>
              <w:spacing w:after="0"/>
              <w:rPr>
                <w:sz w:val="20"/>
                <w:szCs w:val="20"/>
                <w:color w:val="auto"/>
              </w:rPr>
            </w:pPr>
            <w:r>
              <w:rPr>
                <w:rFonts w:ascii="Arial" w:cs="Arial" w:eastAsia="Arial" w:hAnsi="Arial"/>
                <w:sz w:val="16"/>
                <w:szCs w:val="16"/>
                <w:color w:val="auto"/>
              </w:rPr>
              <w:t>82 %</w:t>
            </w:r>
          </w:p>
        </w:tc>
        <w:tc>
          <w:tcPr>
            <w:tcW w:w="480" w:type="dxa"/>
            <w:vAlign w:val="bottom"/>
          </w:tcPr>
          <w:p>
            <w:pPr>
              <w:spacing w:after="0"/>
              <w:rPr>
                <w:sz w:val="20"/>
                <w:szCs w:val="20"/>
                <w:color w:val="auto"/>
              </w:rPr>
            </w:pP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52,846</w:t>
            </w:r>
          </w:p>
        </w:tc>
        <w:tc>
          <w:tcPr>
            <w:tcW w:w="1360" w:type="dxa"/>
            <w:vAlign w:val="bottom"/>
          </w:tcPr>
          <w:p>
            <w:pPr>
              <w:jc w:val="right"/>
              <w:spacing w:after="0"/>
              <w:rPr>
                <w:sz w:val="20"/>
                <w:szCs w:val="20"/>
                <w:color w:val="auto"/>
              </w:rPr>
            </w:pPr>
            <w:r>
              <w:rPr>
                <w:rFonts w:ascii="Arial" w:cs="Arial" w:eastAsia="Arial" w:hAnsi="Arial"/>
                <w:sz w:val="16"/>
                <w:szCs w:val="16"/>
                <w:color w:val="auto"/>
              </w:rPr>
              <w:t>10,910 %</w:t>
            </w:r>
          </w:p>
        </w:tc>
        <w:tc>
          <w:tcPr>
            <w:tcW w:w="4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480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(11,584)</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(15,744)</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(18,745)</w:t>
            </w: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Income tax provision</w:t>
            </w:r>
          </w:p>
        </w:tc>
        <w:tc>
          <w:tcPr>
            <w:tcW w:w="340" w:type="dxa"/>
            <w:vAlign w:val="bottom"/>
          </w:tcPr>
          <w:p>
            <w:pPr>
              <w:spacing w:after="0"/>
              <w:rPr>
                <w:sz w:val="20"/>
                <w:szCs w:val="20"/>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(49,574)</w:t>
            </w:r>
          </w:p>
        </w:tc>
        <w:tc>
          <w:tcPr>
            <w:tcW w:w="1400" w:type="dxa"/>
            <w:vAlign w:val="bottom"/>
          </w:tcPr>
          <w:p>
            <w:pPr>
              <w:jc w:val="right"/>
              <w:spacing w:after="0"/>
              <w:rPr>
                <w:sz w:val="20"/>
                <w:szCs w:val="20"/>
                <w:color w:val="auto"/>
              </w:rPr>
            </w:pPr>
            <w:r>
              <w:rPr>
                <w:rFonts w:ascii="Arial" w:cs="Arial" w:eastAsia="Arial" w:hAnsi="Arial"/>
                <w:sz w:val="16"/>
                <w:szCs w:val="16"/>
                <w:color w:val="auto"/>
              </w:rPr>
              <w:t>124 %</w:t>
            </w:r>
          </w:p>
        </w:tc>
        <w:tc>
          <w:tcPr>
            <w:tcW w:w="480" w:type="dxa"/>
            <w:vAlign w:val="bottom"/>
          </w:tcPr>
          <w:p>
            <w:pPr>
              <w:spacing w:after="0"/>
              <w:rPr>
                <w:sz w:val="20"/>
                <w:szCs w:val="20"/>
                <w:color w:val="auto"/>
              </w:rPr>
            </w:pP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(22,099)</w:t>
            </w:r>
          </w:p>
        </w:tc>
        <w:tc>
          <w:tcPr>
            <w:tcW w:w="1360" w:type="dxa"/>
            <w:vAlign w:val="bottom"/>
          </w:tcPr>
          <w:p>
            <w:pPr>
              <w:jc w:val="right"/>
              <w:spacing w:after="0"/>
              <w:rPr>
                <w:sz w:val="20"/>
                <w:szCs w:val="20"/>
                <w:color w:val="auto"/>
              </w:rPr>
            </w:pPr>
            <w:r>
              <w:rPr>
                <w:rFonts w:ascii="Arial" w:cs="Arial" w:eastAsia="Arial" w:hAnsi="Arial"/>
                <w:sz w:val="16"/>
                <w:szCs w:val="16"/>
                <w:color w:val="auto"/>
              </w:rPr>
              <w:t>448 %</w:t>
            </w:r>
          </w:p>
        </w:tc>
        <w:tc>
          <w:tcPr>
            <w:tcW w:w="4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(4,035)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Itron, Inc.</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31,770</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12,678</w:t>
            </w:r>
          </w:p>
        </w:tc>
        <w:tc>
          <w:tcPr>
            <w:tcW w:w="1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N/A</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(23,670)</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340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1"/>
                <w:szCs w:val="21"/>
                <w:b w:val="1"/>
                <w:bCs w:val="1"/>
                <w:color w:val="auto"/>
                <w:vertAlign w:val="superscript"/>
              </w:rPr>
              <w:t>(1)</w:t>
            </w: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Non-GAAP operating expenses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490,104</w:t>
            </w: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484,967</w:t>
            </w:r>
          </w:p>
        </w:tc>
        <w:tc>
          <w:tcPr>
            <w:tcW w:w="136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504,931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Non-GAAP 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170,216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71,718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109,119</w:t>
            </w: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w w:val="99"/>
              </w:rPr>
              <w:t>Non-GAAP net income attributable to Itron, Inc.</w:t>
            </w:r>
          </w:p>
        </w:tc>
        <w:tc>
          <w:tcPr>
            <w:tcW w:w="340" w:type="dxa"/>
            <w:vAlign w:val="bottom"/>
          </w:tcPr>
          <w:p>
            <w:pPr>
              <w:spacing w:after="0"/>
              <w:rPr>
                <w:sz w:val="20"/>
                <w:szCs w:val="20"/>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98,284</w:t>
            </w:r>
          </w:p>
        </w:tc>
        <w:tc>
          <w:tcPr>
            <w:tcW w:w="1400" w:type="dxa"/>
            <w:vAlign w:val="bottom"/>
          </w:tcPr>
          <w:p>
            <w:pPr>
              <w:jc w:val="right"/>
              <w:spacing w:after="0"/>
              <w:rPr>
                <w:sz w:val="20"/>
                <w:szCs w:val="20"/>
                <w:color w:val="auto"/>
              </w:rPr>
            </w:pPr>
            <w:r>
              <w:rPr>
                <w:rFonts w:ascii="Arial" w:cs="Arial" w:eastAsia="Arial" w:hAnsi="Arial"/>
                <w:sz w:val="16"/>
                <w:szCs w:val="16"/>
                <w:color w:val="auto"/>
              </w:rPr>
              <w:t>251 %</w:t>
            </w:r>
          </w:p>
        </w:tc>
        <w:tc>
          <w:tcPr>
            <w:tcW w:w="480" w:type="dxa"/>
            <w:vAlign w:val="bottom"/>
          </w:tcPr>
          <w:p>
            <w:pPr>
              <w:spacing w:after="0"/>
              <w:rPr>
                <w:sz w:val="20"/>
                <w:szCs w:val="20"/>
                <w:color w:val="auto"/>
              </w:rPr>
            </w:pP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27,981</w:t>
            </w:r>
          </w:p>
        </w:tc>
        <w:tc>
          <w:tcPr>
            <w:tcW w:w="1360" w:type="dxa"/>
            <w:vAlign w:val="bottom"/>
          </w:tcPr>
          <w:p>
            <w:pPr>
              <w:jc w:val="right"/>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60,621</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208,638</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109,497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154,632</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3400" w:type="dxa"/>
            <w:vAlign w:val="bottom"/>
            <w:gridSpan w:val="6"/>
            <w:shd w:val="clear" w:color="auto" w:fill="CCEEFF"/>
          </w:tcPr>
          <w:p>
            <w:pPr>
              <w:ind w:left="40"/>
              <w:spacing w:after="0"/>
              <w:rPr>
                <w:sz w:val="20"/>
                <w:szCs w:val="20"/>
                <w:color w:val="auto"/>
              </w:rPr>
            </w:pPr>
            <w:r>
              <w:rPr>
                <w:rFonts w:ascii="Arial" w:cs="Arial" w:eastAsia="Arial" w:hAnsi="Arial"/>
                <w:sz w:val="16"/>
                <w:szCs w:val="16"/>
                <w:b w:val="1"/>
                <w:bCs w:val="1"/>
                <w:color w:val="auto"/>
              </w:rPr>
              <w:t>GAAP Margins and Earnings Per Share</w:t>
            </w: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Gross margin</w:t>
            </w:r>
          </w:p>
        </w:tc>
        <w:tc>
          <w:tcPr>
            <w:tcW w:w="340" w:type="dxa"/>
            <w:vAlign w:val="bottom"/>
          </w:tcPr>
          <w:p>
            <w:pPr>
              <w:spacing w:after="0"/>
              <w:rPr>
                <w:sz w:val="20"/>
                <w:szCs w:val="20"/>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32.8%</w:t>
            </w:r>
          </w:p>
        </w:tc>
        <w:tc>
          <w:tcPr>
            <w:tcW w:w="1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jc w:val="right"/>
              <w:ind w:right="299"/>
              <w:spacing w:after="0"/>
              <w:rPr>
                <w:sz w:val="20"/>
                <w:szCs w:val="20"/>
                <w:color w:val="auto"/>
              </w:rPr>
            </w:pPr>
            <w:r>
              <w:rPr>
                <w:rFonts w:ascii="Arial" w:cs="Arial" w:eastAsia="Arial" w:hAnsi="Arial"/>
                <w:sz w:val="16"/>
                <w:szCs w:val="16"/>
                <w:color w:val="auto"/>
              </w:rPr>
              <w:t>29.6%</w:t>
            </w:r>
          </w:p>
        </w:tc>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Operating margin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4.8%</w:t>
            </w: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2.8%</w:t>
            </w: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Basic EPS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0.83</w:t>
            </w:r>
          </w:p>
        </w:tc>
        <w:tc>
          <w:tcPr>
            <w:tcW w:w="1400" w:type="dxa"/>
            <w:vAlign w:val="bottom"/>
          </w:tcPr>
          <w:p>
            <w:pPr>
              <w:spacing w:after="0"/>
              <w:rPr>
                <w:sz w:val="20"/>
                <w:szCs w:val="20"/>
                <w:color w:val="auto"/>
              </w:rPr>
            </w:pP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0.33</w:t>
            </w:r>
          </w:p>
        </w:tc>
        <w:tc>
          <w:tcPr>
            <w:tcW w:w="1360" w:type="dxa"/>
            <w:vAlign w:val="bottom"/>
          </w:tcPr>
          <w:p>
            <w:pPr>
              <w:spacing w:after="0"/>
              <w:rPr>
                <w:sz w:val="20"/>
                <w:szCs w:val="20"/>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(0.60)</w:t>
            </w: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Diluted EPS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0.82</w:t>
            </w:r>
          </w:p>
        </w:tc>
        <w:tc>
          <w:tcPr>
            <w:tcW w:w="1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0.33</w:t>
            </w: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r>
      <w:tr>
        <w:trPr>
          <w:trHeight w:val="270"/>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189"/>
        </w:trPr>
        <w:tc>
          <w:tcPr>
            <w:tcW w:w="3400" w:type="dxa"/>
            <w:vAlign w:val="bottom"/>
            <w:gridSpan w:val="6"/>
            <w:shd w:val="clear" w:color="auto" w:fill="CCEEFF"/>
          </w:tcPr>
          <w:p>
            <w:pPr>
              <w:ind w:left="40"/>
              <w:spacing w:after="0" w:line="189" w:lineRule="exact"/>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3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r>
      <w:tr>
        <w:trPr>
          <w:trHeight w:val="237"/>
        </w:trPr>
        <w:tc>
          <w:tcPr>
            <w:tcW w:w="3400" w:type="dxa"/>
            <w:vAlign w:val="bottom"/>
            <w:gridSpan w:val="6"/>
          </w:tcPr>
          <w:p>
            <w:pPr>
              <w:ind w:left="40"/>
              <w:spacing w:after="0"/>
              <w:rPr>
                <w:sz w:val="20"/>
                <w:szCs w:val="20"/>
                <w:color w:val="auto"/>
              </w:rPr>
            </w:pPr>
            <w:r>
              <w:rPr>
                <w:rFonts w:ascii="Arial" w:cs="Arial" w:eastAsia="Arial" w:hAnsi="Arial"/>
                <w:sz w:val="16"/>
                <w:szCs w:val="16"/>
                <w:color w:val="auto"/>
              </w:rPr>
              <w:t>Non-GAAP diluted EPS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19"/>
              <w:spacing w:after="0"/>
              <w:rPr>
                <w:sz w:val="20"/>
                <w:szCs w:val="20"/>
                <w:color w:val="auto"/>
              </w:rPr>
            </w:pPr>
            <w:r>
              <w:rPr>
                <w:rFonts w:ascii="Arial" w:cs="Arial" w:eastAsia="Arial" w:hAnsi="Arial"/>
                <w:sz w:val="16"/>
                <w:szCs w:val="16"/>
                <w:color w:val="auto"/>
              </w:rPr>
              <w:t>2.54</w:t>
            </w:r>
          </w:p>
        </w:tc>
        <w:tc>
          <w:tcPr>
            <w:tcW w:w="1400" w:type="dxa"/>
            <w:vAlign w:val="bottom"/>
          </w:tcPr>
          <w:p>
            <w:pPr>
              <w:spacing w:after="0"/>
              <w:rPr>
                <w:sz w:val="20"/>
                <w:szCs w:val="20"/>
                <w:color w:val="auto"/>
              </w:rPr>
            </w:pP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439"/>
              <w:spacing w:after="0"/>
              <w:rPr>
                <w:sz w:val="20"/>
                <w:szCs w:val="20"/>
                <w:color w:val="auto"/>
              </w:rPr>
            </w:pPr>
            <w:r>
              <w:rPr>
                <w:rFonts w:ascii="Arial" w:cs="Arial" w:eastAsia="Arial" w:hAnsi="Arial"/>
                <w:sz w:val="16"/>
                <w:szCs w:val="16"/>
                <w:color w:val="auto"/>
              </w:rPr>
              <w:t>0.73</w:t>
            </w:r>
          </w:p>
        </w:tc>
        <w:tc>
          <w:tcPr>
            <w:tcW w:w="1360" w:type="dxa"/>
            <w:vAlign w:val="bottom"/>
          </w:tcPr>
          <w:p>
            <w:pPr>
              <w:spacing w:after="0"/>
              <w:rPr>
                <w:sz w:val="20"/>
                <w:szCs w:val="20"/>
                <w:color w:val="auto"/>
              </w:rPr>
            </w:pP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1.54</w:t>
            </w:r>
          </w:p>
        </w:tc>
      </w:tr>
    </w:tbl>
    <w:p>
      <w:pPr>
        <w:spacing w:after="0" w:line="208" w:lineRule="exact"/>
        <w:rPr>
          <w:sz w:val="20"/>
          <w:szCs w:val="20"/>
          <w:color w:val="auto"/>
        </w:rPr>
      </w:pPr>
    </w:p>
    <w:p>
      <w:pPr>
        <w:ind w:left="340" w:right="380" w:hanging="332"/>
        <w:spacing w:after="0" w:line="244"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 xml:space="preserve">These measures exclude certain expenses that we do not believe are indicative of our core operating results. See pages </w:t>
      </w:r>
      <w:r>
        <w:rPr>
          <w:rFonts w:ascii="Arial" w:cs="Arial" w:eastAsia="Arial" w:hAnsi="Arial"/>
          <w:sz w:val="18"/>
          <w:szCs w:val="18"/>
          <w:color w:val="auto"/>
        </w:rPr>
        <w:t>38-40</w:t>
      </w:r>
      <w:r>
        <w:rPr>
          <w:rFonts w:ascii="Arial" w:cs="Arial" w:eastAsia="Arial" w:hAnsi="Arial"/>
          <w:sz w:val="16"/>
          <w:szCs w:val="16"/>
          <w:color w:val="auto"/>
        </w:rPr>
        <w:t xml:space="preserve"> for information about these non-GAAP measures and reconciliations to the most comparable GAAP measures.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4" w:name="page25"/>
    <w:bookmarkEnd w:id="24"/>
    <w:p>
      <w:pPr>
        <w:ind w:left="220"/>
        <w:spacing w:after="0"/>
        <w:rPr>
          <w:sz w:val="20"/>
          <w:szCs w:val="20"/>
          <w:color w:val="auto"/>
        </w:rPr>
      </w:pPr>
      <w:r>
        <w:rPr>
          <w:rFonts w:ascii="Arial" w:cs="Arial" w:eastAsia="Arial" w:hAnsi="Arial"/>
          <w:sz w:val="18"/>
          <w:szCs w:val="18"/>
          <w:i w:val="1"/>
          <w:iCs w:val="1"/>
          <w:color w:val="auto"/>
        </w:rPr>
        <w:t>Meter and Communication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15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smart meter communication modules can be sold separately from the meter.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p>
      <w:pPr>
        <w:ind w:left="78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gridSpan w:val="2"/>
          </w:tcPr>
          <w:p>
            <w:pPr>
              <w:ind w:left="6760"/>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6"/>
                <w:szCs w:val="16"/>
                <w:b w:val="1"/>
                <w:bCs w:val="1"/>
                <w:color w:val="auto"/>
              </w:rPr>
              <w:t>(units in thousands)</w:t>
            </w:r>
          </w:p>
        </w:tc>
        <w:tc>
          <w:tcPr>
            <w:tcW w:w="1700" w:type="dxa"/>
            <w:vAlign w:val="bottom"/>
          </w:tcPr>
          <w:p>
            <w:pPr>
              <w:spacing w:after="0"/>
              <w:rPr>
                <w:sz w:val="18"/>
                <w:szCs w:val="18"/>
                <w:color w:val="auto"/>
              </w:rPr>
            </w:pPr>
          </w:p>
        </w:tc>
      </w:tr>
      <w:tr>
        <w:trPr>
          <w:trHeight w:val="270"/>
        </w:trPr>
        <w:tc>
          <w:tcPr>
            <w:tcW w:w="71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15,540</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18,740</w:t>
            </w:r>
          </w:p>
        </w:tc>
      </w:tr>
      <w:tr>
        <w:trPr>
          <w:trHeight w:val="237"/>
        </w:trPr>
        <w:tc>
          <w:tcPr>
            <w:tcW w:w="71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9,340</w:t>
            </w:r>
          </w:p>
        </w:tc>
        <w:tc>
          <w:tcPr>
            <w:tcW w:w="12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7,290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6,090</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1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24,880</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24,850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24,830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50"/>
        </w:trPr>
        <w:tc>
          <w:tcPr>
            <w:tcW w:w="7160" w:type="dxa"/>
            <w:vAlign w:val="bottom"/>
            <w:gridSpan w:val="2"/>
          </w:tcPr>
          <w:p>
            <w:pPr>
              <w:ind w:left="720"/>
              <w:spacing w:after="0"/>
              <w:rPr>
                <w:sz w:val="20"/>
                <w:szCs w:val="20"/>
                <w:color w:val="auto"/>
              </w:rPr>
            </w:pPr>
            <w:r>
              <w:rPr>
                <w:rFonts w:ascii="Arial" w:cs="Arial" w:eastAsia="Arial" w:hAnsi="Arial"/>
                <w:sz w:val="16"/>
                <w:szCs w:val="16"/>
                <w:color w:val="auto"/>
              </w:rPr>
              <w:t>Smart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5,980</w:t>
            </w:r>
          </w:p>
        </w:tc>
        <w:tc>
          <w:tcPr>
            <w:tcW w:w="120" w:type="dxa"/>
            <w:vAlign w:val="bottom"/>
          </w:tcPr>
          <w:p>
            <w:pPr>
              <w:spacing w:after="0"/>
              <w:rPr>
                <w:sz w:val="21"/>
                <w:szCs w:val="21"/>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5,840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5,770</w:t>
            </w:r>
          </w:p>
        </w:tc>
      </w:tr>
      <w:tr>
        <w:trPr>
          <w:trHeight w:val="20"/>
        </w:trPr>
        <w:tc>
          <w:tcPr>
            <w:tcW w:w="60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0" w:type="dxa"/>
            <w:vAlign w:val="bottom"/>
            <w:gridSpan w:val="3"/>
            <w:vMerge w:val="restart"/>
          </w:tcPr>
          <w:p>
            <w:pPr>
              <w:jc w:val="right"/>
              <w:ind w:right="699"/>
              <w:spacing w:after="0"/>
              <w:rPr>
                <w:sz w:val="20"/>
                <w:szCs w:val="20"/>
                <w:color w:val="auto"/>
              </w:rPr>
            </w:pPr>
            <w:r>
              <w:rPr>
                <w:rFonts w:ascii="Arial" w:cs="Arial" w:eastAsia="Arial" w:hAnsi="Arial"/>
                <w:sz w:val="16"/>
                <w:szCs w:val="16"/>
                <w:b w:val="1"/>
                <w:bCs w:val="1"/>
                <w:color w:val="auto"/>
              </w:rPr>
              <w:t>Year Ended December 31,</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6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w w:val="92"/>
              </w:rPr>
              <w:t>(in thousands)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2,013,186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1,883,533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(34,781)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164,434</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129,653</w:t>
            </w:r>
          </w:p>
        </w:tc>
        <w:tc>
          <w:tcPr>
            <w:tcW w:w="0" w:type="dxa"/>
            <w:vAlign w:val="bottom"/>
          </w:tcPr>
          <w:p>
            <w:pPr>
              <w:spacing w:after="0"/>
              <w:rPr>
                <w:sz w:val="1"/>
                <w:szCs w:val="1"/>
                <w:color w:val="auto"/>
              </w:rPr>
            </w:pPr>
          </w:p>
        </w:tc>
      </w:tr>
      <w:tr>
        <w:trPr>
          <w:trHeight w:val="237"/>
        </w:trPr>
        <w:tc>
          <w:tcPr>
            <w:tcW w:w="282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660,320</w:t>
            </w:r>
          </w:p>
        </w:tc>
        <w:tc>
          <w:tcPr>
            <w:tcW w:w="4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556,685</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(9,381)</w:t>
            </w:r>
          </w:p>
        </w:tc>
        <w:tc>
          <w:tcPr>
            <w:tcW w:w="34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113,016</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103,635</w:t>
            </w:r>
          </w:p>
        </w:tc>
        <w:tc>
          <w:tcPr>
            <w:tcW w:w="0" w:type="dxa"/>
            <w:vAlign w:val="bottom"/>
          </w:tcPr>
          <w:p>
            <w:pPr>
              <w:spacing w:after="0"/>
              <w:rPr>
                <w:sz w:val="1"/>
                <w:szCs w:val="1"/>
                <w:color w:val="auto"/>
              </w:rPr>
            </w:pPr>
          </w:p>
        </w:tc>
      </w:tr>
      <w:tr>
        <w:trPr>
          <w:trHeight w:val="681"/>
        </w:trPr>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0" w:type="dxa"/>
            <w:vAlign w:val="bottom"/>
            <w:gridSpan w:val="3"/>
            <w:vMerge w:val="restart"/>
          </w:tcPr>
          <w:p>
            <w:pPr>
              <w:jc w:val="right"/>
              <w:ind w:right="699"/>
              <w:spacing w:after="0"/>
              <w:rPr>
                <w:sz w:val="20"/>
                <w:szCs w:val="20"/>
                <w:color w:val="auto"/>
              </w:rPr>
            </w:pPr>
            <w:r>
              <w:rPr>
                <w:rFonts w:ascii="Arial" w:cs="Arial" w:eastAsia="Arial" w:hAnsi="Arial"/>
                <w:sz w:val="16"/>
                <w:szCs w:val="16"/>
                <w:b w:val="1"/>
                <w:bCs w:val="1"/>
                <w:color w:val="auto"/>
              </w:rPr>
              <w:t>Year Ended December 31,</w:t>
            </w:r>
          </w:p>
        </w:tc>
        <w:tc>
          <w:tcPr>
            <w:tcW w:w="17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6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4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w w:val="92"/>
              </w:rPr>
              <w:t>(in thousands)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82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1,883,533</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1,947,616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(178,250)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114,167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(64,083)</w:t>
            </w:r>
          </w:p>
        </w:tc>
        <w:tc>
          <w:tcPr>
            <w:tcW w:w="0" w:type="dxa"/>
            <w:vAlign w:val="bottom"/>
          </w:tcPr>
          <w:p>
            <w:pPr>
              <w:spacing w:after="0"/>
              <w:rPr>
                <w:sz w:val="1"/>
                <w:szCs w:val="1"/>
                <w:color w:val="auto"/>
              </w:rPr>
            </w:pPr>
          </w:p>
        </w:tc>
      </w:tr>
      <w:tr>
        <w:trPr>
          <w:trHeight w:val="237"/>
        </w:trPr>
        <w:tc>
          <w:tcPr>
            <w:tcW w:w="282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4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556,685</w:t>
            </w:r>
          </w:p>
        </w:tc>
        <w:tc>
          <w:tcPr>
            <w:tcW w:w="4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614,050</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(51,264)</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(6,101)</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(57,365)</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Revenues increased $129.7 million, or 7%, in 2016, compared with 2015. Changes in currency exchange rates unfavorably impacted revenues by $34.8 million across all segments. Revenues decreased $64.1 million, or 3%, in 2015, compared with 2014. Changes in currency exchange rates unfavorably impacted revenues by $178.3 million across all segments. A more detailed analysis of these fluctuations is provided in </w:t>
      </w:r>
      <w:r>
        <w:rPr>
          <w:rFonts w:ascii="Arial" w:cs="Arial" w:eastAsia="Arial" w:hAnsi="Arial"/>
          <w:sz w:val="16"/>
          <w:szCs w:val="16"/>
          <w:i w:val="1"/>
          <w:iCs w:val="1"/>
          <w:color w:val="auto"/>
        </w:rPr>
        <w:t>Operating Segment Results.</w:t>
      </w:r>
    </w:p>
    <w:p>
      <w:pPr>
        <w:sectPr>
          <w:pgSz w:w="11900" w:h="16838" w:orient="portrait"/>
          <w:cols w:equalWidth="0" w:num="1">
            <w:col w:w="11420"/>
          </w:cols>
          <w:pgMar w:left="240" w:top="368"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68" w:right="239" w:bottom="1440" w:gutter="0" w:footer="0" w:header="0"/>
          <w:type w:val="continuous"/>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2016, 2015, and 2014. Our 10 largest customers accounted for 31%, 22%, and 19% of total revenues in 2016, 2015, and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Gross margin was 32.8% for 2016, compared with 29.6% in 2015. </w:t>
      </w:r>
      <w:r>
        <w:rPr>
          <w:rFonts w:ascii="Arial" w:cs="Arial" w:eastAsia="Arial" w:hAnsi="Arial"/>
          <w:sz w:val="18"/>
          <w:szCs w:val="18"/>
          <w:color w:val="222222"/>
        </w:rPr>
        <w:t>The improvement was primarily driven by a $29.4 million warranty charge that</w:t>
      </w:r>
      <w:r>
        <w:rPr>
          <w:rFonts w:ascii="Arial" w:cs="Arial" w:eastAsia="Arial" w:hAnsi="Arial"/>
          <w:sz w:val="18"/>
          <w:szCs w:val="18"/>
          <w:color w:val="auto"/>
        </w:rPr>
        <w:t xml:space="preserve"> </w:t>
      </w:r>
      <w:r>
        <w:rPr>
          <w:rFonts w:ascii="Arial" w:cs="Arial" w:eastAsia="Arial" w:hAnsi="Arial"/>
          <w:sz w:val="18"/>
          <w:szCs w:val="18"/>
          <w:color w:val="222222"/>
        </w:rPr>
        <w:t xml:space="preserve">unfavorably impacted gross margin in 2015 </w:t>
      </w:r>
      <w:r>
        <w:rPr>
          <w:rFonts w:ascii="Arial" w:cs="Arial" w:eastAsia="Arial" w:hAnsi="Arial"/>
          <w:sz w:val="18"/>
          <w:szCs w:val="18"/>
          <w:color w:val="000000"/>
        </w:rPr>
        <w:t>related to the premature failure of certain communication modules that necessitated a product replacement</w:t>
      </w:r>
      <w:r>
        <w:rPr>
          <w:rFonts w:ascii="Arial" w:cs="Arial" w:eastAsia="Arial" w:hAnsi="Arial"/>
          <w:sz w:val="18"/>
          <w:szCs w:val="18"/>
          <w:color w:val="222222"/>
        </w:rPr>
        <w:t xml:space="preserve"> </w:t>
      </w:r>
      <w:r>
        <w:rPr>
          <w:rFonts w:ascii="Arial" w:cs="Arial" w:eastAsia="Arial" w:hAnsi="Arial"/>
          <w:sz w:val="18"/>
          <w:szCs w:val="18"/>
          <w:color w:val="000000"/>
        </w:rPr>
        <w:t xml:space="preserve">notification </w:t>
      </w:r>
      <w:r>
        <w:rPr>
          <w:rFonts w:ascii="Arial" w:cs="Arial" w:eastAsia="Arial" w:hAnsi="Arial"/>
          <w:sz w:val="18"/>
          <w:szCs w:val="18"/>
          <w:color w:val="222222"/>
        </w:rPr>
        <w:t>in our Water segment, as well as improved revenues and product mix in our Electricity and Gas segments.</w:t>
      </w:r>
      <w:r>
        <w:rPr>
          <w:rFonts w:ascii="Arial" w:cs="Arial" w:eastAsia="Arial" w:hAnsi="Arial"/>
          <w:sz w:val="18"/>
          <w:szCs w:val="18"/>
          <w:color w:val="000000"/>
        </w:rPr>
        <w:t xml:space="preserve"> Gross margin was 29.6% in 2015, compared with 31.5% in 2014. The decrease was primarily driven by the warranty charge previously discussed.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operating expense:</w:t>
      </w: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158,883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161,380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168,209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162,334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5,875</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162,815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155,715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7,100</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25,112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31,673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(6,561)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49,090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56,353</w:t>
            </w:r>
          </w:p>
        </w:tc>
        <w:tc>
          <w:tcPr>
            <w:tcW w:w="0" w:type="dxa"/>
            <w:vAlign w:val="bottom"/>
          </w:tcPr>
          <w:p>
            <w:pPr>
              <w:spacing w:after="0"/>
              <w:rPr>
                <w:sz w:val="1"/>
                <w:szCs w:val="1"/>
                <w:color w:val="auto"/>
              </w:rPr>
            </w:pPr>
          </w:p>
        </w:tc>
      </w:tr>
      <w:tr>
        <w:trPr>
          <w:trHeight w:val="217"/>
        </w:trPr>
        <w:tc>
          <w:tcPr>
            <w:tcW w:w="30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564,109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503,839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67,590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60,270</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0" w:type="dxa"/>
            <w:vAlign w:val="bottom"/>
          </w:tcPr>
          <w:p>
            <w:pPr>
              <w:spacing w:after="0"/>
              <w:rPr>
                <w:sz w:val="24"/>
                <w:szCs w:val="24"/>
                <w:color w:val="auto"/>
              </w:rPr>
            </w:pPr>
          </w:p>
        </w:tc>
        <w:tc>
          <w:tcPr>
            <w:tcW w:w="2800" w:type="dxa"/>
            <w:vAlign w:val="bottom"/>
            <w:gridSpan w:val="4"/>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Effect of Changes in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1"/>
                <w:szCs w:val="11"/>
                <w:color w:val="auto"/>
              </w:rPr>
            </w:pPr>
          </w:p>
        </w:tc>
        <w:tc>
          <w:tcPr>
            <w:tcW w:w="15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Total Change</w:t>
            </w:r>
          </w:p>
        </w:tc>
        <w:tc>
          <w:tcPr>
            <w:tcW w:w="0" w:type="dxa"/>
            <w:vAlign w:val="bottom"/>
          </w:tcPr>
          <w:p>
            <w:pPr>
              <w:spacing w:after="0"/>
              <w:rPr>
                <w:sz w:val="1"/>
                <w:szCs w:val="1"/>
                <w:color w:val="auto"/>
              </w:rPr>
            </w:pPr>
          </w:p>
        </w:tc>
      </w:tr>
      <w:tr>
        <w:trPr>
          <w:trHeight w:val="217"/>
        </w:trPr>
        <w:tc>
          <w:tcPr>
            <w:tcW w:w="3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0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161,380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182,503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(21,123)</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162,334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175,500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(10,267)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(13,166)</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155,715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162,466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(6,751)</w:t>
            </w:r>
          </w:p>
        </w:tc>
        <w:tc>
          <w:tcPr>
            <w:tcW w:w="0" w:type="dxa"/>
            <w:vAlign w:val="bottom"/>
          </w:tcPr>
          <w:p>
            <w:pPr>
              <w:spacing w:after="0"/>
              <w:rPr>
                <w:sz w:val="1"/>
                <w:szCs w:val="1"/>
                <w:color w:val="auto"/>
              </w:rPr>
            </w:pPr>
          </w:p>
        </w:tc>
      </w:tr>
      <w:tr>
        <w:trPr>
          <w:trHeight w:val="237"/>
        </w:trPr>
        <w:tc>
          <w:tcPr>
            <w:tcW w:w="30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31,673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43,619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(7,825)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(11,946)</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49,482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(56,745)</w:t>
            </w:r>
          </w:p>
        </w:tc>
        <w:tc>
          <w:tcPr>
            <w:tcW w:w="0" w:type="dxa"/>
            <w:vAlign w:val="bottom"/>
          </w:tcPr>
          <w:p>
            <w:pPr>
              <w:spacing w:after="0"/>
              <w:rPr>
                <w:sz w:val="1"/>
                <w:szCs w:val="1"/>
                <w:color w:val="auto"/>
              </w:rPr>
            </w:pPr>
          </w:p>
        </w:tc>
      </w:tr>
      <w:tr>
        <w:trPr>
          <w:trHeight w:val="217"/>
        </w:trPr>
        <w:tc>
          <w:tcPr>
            <w:tcW w:w="30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503,839</w:t>
            </w: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613,570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(53,893)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(55,838)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(109,731)</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increased $60.3 million for the year ended December 31, 2016 as compared with the same period in 2015. This was primarily related to increased restructuring expense related to the 2016 Projects. The increases in general and administrative and product development were related to variable compensation, professional service, and temporary worker expenses. This was partially offset by a decrease in amortization of intangible assets.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2015, operating expenses decreased $109.7 million as compared with the same period in 2014. The decrease was primarily related to a reduction in restructuring expense, variable compensation, acquisition related expense, and favorable foreign exchange impact of $53.9 million. These decreases were partially offset by increased litigation, professional service, and temporary worker expenses.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80" w:type="dxa"/>
            <w:vAlign w:val="bottom"/>
            <w:gridSpan w:val="5"/>
          </w:tcPr>
          <w:p>
            <w:pPr>
              <w:ind w:left="160"/>
              <w:spacing w:after="0"/>
              <w:rPr>
                <w:sz w:val="20"/>
                <w:szCs w:val="20"/>
                <w:color w:val="auto"/>
              </w:rPr>
            </w:pPr>
            <w:r>
              <w:rPr>
                <w:rFonts w:ascii="Arial" w:cs="Arial" w:eastAsia="Arial" w:hAnsi="Arial"/>
                <w:sz w:val="16"/>
                <w:szCs w:val="16"/>
                <w:b w:val="1"/>
                <w:bCs w:val="1"/>
                <w:color w:val="auto"/>
                <w:w w:val="91"/>
              </w:rPr>
              <w:t>Year Ended December 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480" w:type="dxa"/>
            <w:vAlign w:val="bottom"/>
            <w:gridSpan w:val="2"/>
          </w:tcPr>
          <w:p>
            <w:pPr>
              <w:ind w:left="32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3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21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3"/>
              </w:rPr>
              <w:t>14%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(9,872)</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(10,161)</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4"/>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(9,990)</w:t>
            </w:r>
          </w:p>
        </w:tc>
      </w:tr>
      <w:tr>
        <w:trPr>
          <w:trHeight w:val="33"/>
        </w:trPr>
        <w:tc>
          <w:tcPr>
            <w:tcW w:w="3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(1,076)</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(49)%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20"/>
                <w:szCs w:val="20"/>
                <w:color w:val="auto"/>
              </w:rPr>
            </w:pPr>
          </w:p>
        </w:tc>
        <w:tc>
          <w:tcPr>
            <w:tcW w:w="1200" w:type="dxa"/>
            <w:vAlign w:val="bottom"/>
          </w:tcPr>
          <w:p>
            <w:pPr>
              <w:jc w:val="center"/>
              <w:ind w:left="99"/>
              <w:spacing w:after="0"/>
              <w:rPr>
                <w:sz w:val="20"/>
                <w:szCs w:val="20"/>
                <w:color w:val="auto"/>
              </w:rPr>
            </w:pPr>
            <w:r>
              <w:rPr>
                <w:rFonts w:ascii="Arial" w:cs="Arial" w:eastAsia="Arial" w:hAnsi="Arial"/>
                <w:sz w:val="16"/>
                <w:szCs w:val="16"/>
                <w:color w:val="auto"/>
                <w:w w:val="98"/>
              </w:rPr>
              <w:t>(64)%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(4,216)</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(7,637)</w:t>
            </w:r>
          </w:p>
        </w:tc>
      </w:tr>
      <w:tr>
        <w:trPr>
          <w:trHeight w:val="33"/>
        </w:trPr>
        <w:tc>
          <w:tcPr>
            <w:tcW w:w="3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(26)%</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(18,745)</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income (expense) for the year ended December 31, 2016 was a net expense of $11.6 million compared with $15.7 million in 2015. The change for the year ended December 31, 2016 as compared with 2015 was due to fluctuations in the recognized foreign currency exchange gains and losses due to transactions denominated in a currency other than the reporting entity's functional currency. The decreased expense in 2016 was also due to the write off of unamortized prepaid debt fees in 2015.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other income (expense) for the year ended December 31, 2015 was a net expense of $15.7 million compared with $18.7 million in 2014. The decreased expense was primarily due to reduced losses in the recognized foreign currency exchange losses due to transactions denominated in a currency other than the reporting entity's functional currency.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provision was $49.6 million, $22.1 million, and $4.0 million for the years ended December 31, 2016, 2015, and 2014, respectively. Our tax rates of 59%, 60%, and (22)% for the years ended December 31, 2016, 2015, and 2014 differ from the 35% U.S. federal statutory tax rate due to the level of profit or losses in domestic and foreign jurisdictions, tax credits (including research and development and foreign tax), state income taxes, adjustments to valuation allowances, and uncertain tax positions, among other items. For additional discussion related to income taxes, see Item 8: “Financial Statements and Supplementary Data, Note 11: Income Taxes.”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2016, we filed a formal protest letter with the Internal Revenue Service requesting an Appeals hearing regarding the 2011-2013 tax audit assessment received earlier this year relating to research and development tax credits.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Operating Segment Results</w:t>
      </w:r>
    </w:p>
    <w:p>
      <w:pPr>
        <w:spacing w:after="0" w:line="13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16: Segment Information” in this Annual Report on Form 10-K. The following tables and discussion highlight significant changes in trends or components of each operating segment.</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Segment Revenues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Electricity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Water</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Segment Gross Profit and Margin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Electricity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Water</w:t>
      </w:r>
    </w:p>
    <w:p>
      <w:pPr>
        <w:spacing w:after="0" w:line="10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Total gross profit and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Segment Operating Expenses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Electricity</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Water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Corporate unallocated</w:t>
      </w:r>
    </w:p>
    <w:p>
      <w:pPr>
        <w:spacing w:after="0" w:line="10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4279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980" w:type="dxa"/>
            <w:vAlign w:val="bottom"/>
          </w:tcPr>
          <w:p>
            <w:pPr>
              <w:jc w:val="center"/>
              <w:ind w:right="2"/>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 Change</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180" w:type="dxa"/>
            <w:vAlign w:val="bottom"/>
          </w:tcPr>
          <w:p>
            <w:pPr>
              <w:spacing w:after="0"/>
              <w:rPr>
                <w:sz w:val="21"/>
                <w:szCs w:val="21"/>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938,374</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14%</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820,306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771,857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569,476</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4"/>
              </w:rPr>
              <w:t>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543,805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4"/>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599,091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505,336</w:t>
            </w:r>
          </w:p>
        </w:tc>
        <w:tc>
          <w:tcPr>
            <w:tcW w:w="1280" w:type="dxa"/>
            <w:vAlign w:val="bottom"/>
            <w:gridSpan w:val="3"/>
          </w:tcPr>
          <w:p>
            <w:pPr>
              <w:jc w:val="center"/>
              <w:ind w:left="359"/>
              <w:spacing w:after="0"/>
              <w:rPr>
                <w:sz w:val="20"/>
                <w:szCs w:val="20"/>
                <w:color w:val="auto"/>
              </w:rPr>
            </w:pPr>
            <w:r>
              <w:rPr>
                <w:rFonts w:ascii="Arial" w:cs="Arial" w:eastAsia="Arial" w:hAnsi="Arial"/>
                <w:sz w:val="16"/>
                <w:szCs w:val="16"/>
                <w:color w:val="auto"/>
                <w:w w:val="94"/>
              </w:rPr>
              <w:t>(3)%</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519,422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3"/>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576,668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4"/>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2,013,186</w:t>
            </w:r>
          </w:p>
        </w:tc>
        <w:tc>
          <w:tcPr>
            <w:tcW w:w="120" w:type="dxa"/>
            <w:vAlign w:val="bottom"/>
            <w:tcBorders>
              <w:bottom w:val="single" w:sz="8" w:color="auto"/>
            </w:tcBorders>
          </w:tcPr>
          <w:p>
            <w:pPr>
              <w:spacing w:after="0"/>
              <w:rPr>
                <w:sz w:val="21"/>
                <w:szCs w:val="21"/>
                <w:color w:val="auto"/>
              </w:rPr>
            </w:pPr>
          </w:p>
        </w:tc>
        <w:tc>
          <w:tcPr>
            <w:tcW w:w="1160" w:type="dxa"/>
            <w:vAlign w:val="bottom"/>
            <w:gridSpan w:val="2"/>
          </w:tcPr>
          <w:p>
            <w:pPr>
              <w:jc w:val="center"/>
              <w:ind w:left="259"/>
              <w:spacing w:after="0"/>
              <w:rPr>
                <w:sz w:val="20"/>
                <w:szCs w:val="20"/>
                <w:color w:val="auto"/>
              </w:rPr>
            </w:pPr>
            <w:r>
              <w:rPr>
                <w:rFonts w:ascii="Arial" w:cs="Arial" w:eastAsia="Arial" w:hAnsi="Arial"/>
                <w:sz w:val="16"/>
                <w:szCs w:val="16"/>
                <w:color w:val="auto"/>
                <w:w w:val="94"/>
              </w:rPr>
              <w:t>7%</w:t>
            </w:r>
          </w:p>
        </w:tc>
        <w:tc>
          <w:tcPr>
            <w:tcW w:w="34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1,947,616</w:t>
            </w:r>
          </w:p>
        </w:tc>
        <w:tc>
          <w:tcPr>
            <w:tcW w:w="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94"/>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gridSpan w:val="3"/>
          </w:tcPr>
          <w:p>
            <w:pPr>
              <w:jc w:val="right"/>
              <w:ind w:right="103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180" w:type="dxa"/>
            <w:vAlign w:val="bottom"/>
          </w:tcPr>
          <w:p>
            <w:pPr>
              <w:spacing w:after="0"/>
              <w:rPr>
                <w:sz w:val="18"/>
                <w:szCs w:val="18"/>
                <w:color w:val="auto"/>
              </w:rPr>
            </w:pPr>
          </w:p>
        </w:tc>
        <w:tc>
          <w:tcPr>
            <w:tcW w:w="980" w:type="dxa"/>
            <w:vAlign w:val="bottom"/>
          </w:tcPr>
          <w:p>
            <w:pPr>
              <w:jc w:val="center"/>
              <w:ind w:right="2"/>
              <w:spacing w:after="0"/>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19"/>
              <w:spacing w:after="0"/>
              <w:rPr>
                <w:sz w:val="20"/>
                <w:szCs w:val="20"/>
                <w:color w:val="auto"/>
              </w:rPr>
            </w:pPr>
            <w:r>
              <w:rPr>
                <w:rFonts w:ascii="Arial" w:cs="Arial" w:eastAsia="Arial" w:hAnsi="Arial"/>
                <w:sz w:val="16"/>
                <w:szCs w:val="16"/>
                <w:b w:val="1"/>
                <w:bCs w:val="1"/>
                <w:i w:val="1"/>
                <w:iCs w:val="1"/>
                <w:color w:val="auto"/>
                <w:w w:val="86"/>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6"/>
              </w:rPr>
              <w:t>Gross</w:t>
            </w: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i w:val="1"/>
                <w:iCs w:val="1"/>
                <w:color w:val="auto"/>
                <w:w w:val="86"/>
              </w:rPr>
              <w:t>Gross</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2"/>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6"/>
              </w:rPr>
              <w:t>Gross</w:t>
            </w:r>
          </w:p>
        </w:tc>
      </w:tr>
      <w:tr>
        <w:trPr>
          <w:trHeight w:val="206"/>
        </w:trPr>
        <w:tc>
          <w:tcPr>
            <w:tcW w:w="180" w:type="dxa"/>
            <w:vAlign w:val="bottom"/>
          </w:tcPr>
          <w:p>
            <w:pPr>
              <w:spacing w:after="0"/>
              <w:rPr>
                <w:sz w:val="17"/>
                <w:szCs w:val="17"/>
                <w:color w:val="auto"/>
              </w:rPr>
            </w:pPr>
          </w:p>
        </w:tc>
        <w:tc>
          <w:tcPr>
            <w:tcW w:w="980" w:type="dxa"/>
            <w:vAlign w:val="bottom"/>
          </w:tcPr>
          <w:p>
            <w:pPr>
              <w:jc w:val="center"/>
              <w:ind w:right="2"/>
              <w:spacing w:after="0"/>
              <w:rPr>
                <w:sz w:val="20"/>
                <w:szCs w:val="20"/>
                <w:color w:val="auto"/>
              </w:rPr>
            </w:pPr>
            <w:r>
              <w:rPr>
                <w:rFonts w:ascii="Arial" w:cs="Arial" w:eastAsia="Arial" w:hAnsi="Arial"/>
                <w:sz w:val="16"/>
                <w:szCs w:val="16"/>
                <w:b w:val="1"/>
                <w:bCs w:val="1"/>
                <w:i w:val="1"/>
                <w:iCs w:val="1"/>
                <w:color w:val="auto"/>
                <w:w w:val="90"/>
              </w:rPr>
              <w:t>Profit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left="139"/>
              <w:spacing w:after="0"/>
              <w:rPr>
                <w:sz w:val="20"/>
                <w:szCs w:val="20"/>
                <w:color w:val="auto"/>
              </w:rPr>
            </w:pPr>
            <w:r>
              <w:rPr>
                <w:rFonts w:ascii="Arial" w:cs="Arial" w:eastAsia="Arial" w:hAnsi="Arial"/>
                <w:sz w:val="16"/>
                <w:szCs w:val="16"/>
                <w:b w:val="1"/>
                <w:bCs w:val="1"/>
                <w:i w:val="1"/>
                <w:iCs w:val="1"/>
                <w:color w:val="auto"/>
                <w:w w:val="95"/>
              </w:rPr>
              <w:t>Margin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5"/>
              </w:rPr>
              <w:t>Profit</w:t>
            </w: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0"/>
              </w:rPr>
              <w:t>Profit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99"/>
              </w:rPr>
              <w:t>Margin</w:t>
            </w: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8"/>
        </w:trPr>
        <w:tc>
          <w:tcPr>
            <w:tcW w:w="180" w:type="dxa"/>
            <w:vAlign w:val="bottom"/>
          </w:tcPr>
          <w:p>
            <w:pPr>
              <w:spacing w:after="0"/>
              <w:rPr>
                <w:sz w:val="21"/>
                <w:szCs w:val="21"/>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282,677</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2"/>
              </w:rPr>
              <w:t>30.1%</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225,446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200,249</w:t>
            </w:r>
          </w:p>
        </w:tc>
        <w:tc>
          <w:tcPr>
            <w:tcW w:w="146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25.9%</w:t>
            </w: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205,063</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2"/>
              </w:rPr>
              <w:t>36.0%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185,559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34.1%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211,623</w:t>
            </w:r>
          </w:p>
        </w:tc>
        <w:tc>
          <w:tcPr>
            <w:tcW w:w="146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35.3%</w:t>
            </w: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172,580</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2"/>
              </w:rPr>
              <w:t>34.2%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145,680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28.0%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202,178</w:t>
            </w:r>
          </w:p>
        </w:tc>
        <w:tc>
          <w:tcPr>
            <w:tcW w:w="1460" w:type="dxa"/>
            <w:vAlign w:val="bottom"/>
            <w:gridSpan w:val="3"/>
          </w:tcPr>
          <w:p>
            <w:pPr>
              <w:jc w:val="center"/>
              <w:ind w:left="119"/>
              <w:spacing w:after="0"/>
              <w:rPr>
                <w:sz w:val="20"/>
                <w:szCs w:val="20"/>
                <w:color w:val="auto"/>
              </w:rPr>
            </w:pPr>
            <w:r>
              <w:rPr>
                <w:rFonts w:ascii="Arial" w:cs="Arial" w:eastAsia="Arial" w:hAnsi="Arial"/>
                <w:sz w:val="16"/>
                <w:szCs w:val="16"/>
                <w:color w:val="auto"/>
                <w:w w:val="92"/>
              </w:rPr>
              <w:t>35.1%</w:t>
            </w: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4"/>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660,320</w:t>
            </w:r>
          </w:p>
        </w:tc>
        <w:tc>
          <w:tcPr>
            <w:tcW w:w="120" w:type="dxa"/>
            <w:vAlign w:val="bottom"/>
            <w:tcBorders>
              <w:bottom w:val="single" w:sz="8" w:color="auto"/>
            </w:tcBorders>
          </w:tcPr>
          <w:p>
            <w:pPr>
              <w:spacing w:after="0"/>
              <w:rPr>
                <w:sz w:val="21"/>
                <w:szCs w:val="21"/>
                <w:color w:val="auto"/>
              </w:rPr>
            </w:pPr>
          </w:p>
        </w:tc>
        <w:tc>
          <w:tcPr>
            <w:tcW w:w="1160" w:type="dxa"/>
            <w:vAlign w:val="bottom"/>
            <w:gridSpan w:val="2"/>
          </w:tcPr>
          <w:p>
            <w:pPr>
              <w:jc w:val="center"/>
              <w:ind w:left="259"/>
              <w:spacing w:after="0"/>
              <w:rPr>
                <w:sz w:val="20"/>
                <w:szCs w:val="20"/>
                <w:color w:val="auto"/>
              </w:rPr>
            </w:pPr>
            <w:r>
              <w:rPr>
                <w:rFonts w:ascii="Arial" w:cs="Arial" w:eastAsia="Arial" w:hAnsi="Arial"/>
                <w:sz w:val="16"/>
                <w:szCs w:val="16"/>
                <w:color w:val="auto"/>
                <w:w w:val="92"/>
              </w:rPr>
              <w:t>32.8%</w:t>
            </w:r>
          </w:p>
        </w:tc>
        <w:tc>
          <w:tcPr>
            <w:tcW w:w="340" w:type="dxa"/>
            <w:vAlign w:val="bottom"/>
            <w:gridSpan w:val="2"/>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556,685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29.6%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614,050</w:t>
            </w:r>
          </w:p>
        </w:tc>
        <w:tc>
          <w:tcPr>
            <w:tcW w:w="100" w:type="dxa"/>
            <w:vAlign w:val="bottom"/>
            <w:tcBorders>
              <w:bottom w:val="single" w:sz="8" w:color="auto"/>
            </w:tcBorders>
          </w:tcPr>
          <w:p>
            <w:pPr>
              <w:spacing w:after="0"/>
              <w:rPr>
                <w:sz w:val="21"/>
                <w:szCs w:val="21"/>
                <w:color w:val="auto"/>
              </w:rPr>
            </w:pPr>
          </w:p>
        </w:tc>
        <w:tc>
          <w:tcPr>
            <w:tcW w:w="136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31.5%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94"/>
        </w:trPr>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00" w:type="dxa"/>
            <w:vAlign w:val="bottom"/>
            <w:gridSpan w:val="6"/>
          </w:tcPr>
          <w:p>
            <w:pPr>
              <w:jc w:val="right"/>
              <w:ind w:right="60"/>
              <w:spacing w:after="0"/>
              <w:rPr>
                <w:sz w:val="20"/>
                <w:szCs w:val="20"/>
                <w:color w:val="auto"/>
              </w:rPr>
            </w:pPr>
            <w:r>
              <w:rPr>
                <w:rFonts w:ascii="Arial" w:cs="Arial" w:eastAsia="Arial" w:hAnsi="Arial"/>
                <w:sz w:val="16"/>
                <w:szCs w:val="16"/>
                <w:b w:val="1"/>
                <w:bCs w:val="1"/>
                <w:color w:val="auto"/>
                <w:w w:val="92"/>
              </w:rPr>
              <w:t>Year Ended December 31,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980" w:type="dxa"/>
            <w:vAlign w:val="bottom"/>
          </w:tcPr>
          <w:p>
            <w:pPr>
              <w:jc w:val="center"/>
              <w:ind w:right="2"/>
              <w:spacing w:after="0"/>
              <w:rPr>
                <w:sz w:val="20"/>
                <w:szCs w:val="20"/>
                <w:color w:val="auto"/>
              </w:rPr>
            </w:pPr>
            <w:r>
              <w:rPr>
                <w:rFonts w:ascii="Arial" w:cs="Arial" w:eastAsia="Arial" w:hAnsi="Arial"/>
                <w:sz w:val="16"/>
                <w:szCs w:val="16"/>
                <w:b w:val="1"/>
                <w:bCs w:val="1"/>
                <w:color w:val="auto"/>
                <w:w w:val="95"/>
              </w:rPr>
              <w:t>2016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 Change</w:t>
            </w:r>
          </w:p>
        </w:tc>
        <w:tc>
          <w:tcPr>
            <w:tcW w:w="1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5"/>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8"/>
        </w:trPr>
        <w:tc>
          <w:tcPr>
            <w:tcW w:w="180" w:type="dxa"/>
            <w:vAlign w:val="bottom"/>
          </w:tcPr>
          <w:p>
            <w:pPr>
              <w:spacing w:after="0"/>
              <w:rPr>
                <w:sz w:val="21"/>
                <w:szCs w:val="21"/>
                <w:color w:val="auto"/>
              </w:rPr>
            </w:pPr>
          </w:p>
        </w:tc>
        <w:tc>
          <w:tcPr>
            <w:tcW w:w="980" w:type="dxa"/>
            <w:vAlign w:val="bottom"/>
          </w:tcPr>
          <w:p>
            <w:pPr>
              <w:jc w:val="center"/>
              <w:ind w:right="2"/>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3"/>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214,390</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10%</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194,342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3"/>
              </w:rPr>
              <w:t>(30)%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278,000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138,250</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17%</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118,088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3"/>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135,522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135,314</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4"/>
              </w:rPr>
              <w:t>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125,816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4"/>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130,822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76,155</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16%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69,226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4"/>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564,109</w:t>
            </w:r>
          </w:p>
        </w:tc>
        <w:tc>
          <w:tcPr>
            <w:tcW w:w="128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12%</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503,839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color w:val="auto"/>
                <w:w w:val="93"/>
              </w:rPr>
              <w:t>(18)%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613,570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-4012565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-3669665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-2297430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-1954530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-882650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-539750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-196850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wp:posOffset>
            </wp:positionV>
            <wp:extent cx="5137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100" w:lineRule="exact"/>
        <w:rPr>
          <w:sz w:val="20"/>
          <w:szCs w:val="20"/>
          <w:color w:val="auto"/>
        </w:rPr>
      </w:pPr>
    </w:p>
    <w:p>
      <w:pPr>
        <w:sectPr>
          <w:pgSz w:w="11900" w:h="16838" w:orient="portrait"/>
          <w:cols w:equalWidth="0" w:num="2">
            <w:col w:w="2620" w:space="720"/>
            <w:col w:w="808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2014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87"/>
              </w:rPr>
              <w:t>Operating</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9"/>
              </w:rPr>
              <w:t>Operating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Operating</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89"/>
              </w:rPr>
              <w:t>Income</w:t>
            </w: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i w:val="1"/>
                <w:iCs w:val="1"/>
                <w:color w:val="auto"/>
                <w:w w:val="89"/>
              </w:rPr>
              <w:t>Operating</w:t>
            </w: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2"/>
              </w:rPr>
              <w:t>Income</w:t>
            </w: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i w:val="1"/>
                <w:iCs w:val="1"/>
                <w:color w:val="auto"/>
                <w:w w:val="89"/>
              </w:rPr>
              <w:t>Operating</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9"/>
              </w:rPr>
              <w:t>Income</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89"/>
              </w:rPr>
              <w:t>Operating</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6"/>
                <w:szCs w:val="16"/>
                <w:b w:val="1"/>
                <w:bCs w:val="1"/>
                <w:i w:val="1"/>
                <w:iCs w:val="1"/>
                <w:color w:val="auto"/>
                <w:w w:val="87"/>
              </w:rPr>
              <w:t>(Loss)</w:t>
            </w: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6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3"/>
              </w:rPr>
              <w:t>(Loss)</w:t>
            </w: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i w:val="1"/>
                <w:iCs w:val="1"/>
                <w:color w:val="auto"/>
                <w:w w:val="95"/>
              </w:rPr>
              <w:t>Margin</w:t>
            </w:r>
          </w:p>
        </w:tc>
        <w:tc>
          <w:tcPr>
            <w:tcW w:w="180" w:type="dxa"/>
            <w:vAlign w:val="bottom"/>
          </w:tcPr>
          <w:p>
            <w:pPr>
              <w:spacing w:after="0"/>
              <w:rPr>
                <w:sz w:val="17"/>
                <w:szCs w:val="17"/>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(Loss)</w:t>
            </w: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i w:val="1"/>
                <w:iCs w:val="1"/>
                <w:color w:val="auto"/>
                <w:w w:val="99"/>
              </w:rPr>
              <w:t>Margin</w:t>
            </w:r>
          </w:p>
        </w:tc>
        <w:tc>
          <w:tcPr>
            <w:tcW w:w="0" w:type="dxa"/>
            <w:vAlign w:val="bottom"/>
          </w:tcPr>
          <w:p>
            <w:pPr>
              <w:spacing w:after="0"/>
              <w:rPr>
                <w:sz w:val="1"/>
                <w:szCs w:val="1"/>
                <w:color w:val="auto"/>
              </w:rPr>
            </w:pPr>
          </w:p>
        </w:tc>
      </w:tr>
      <w:tr>
        <w:trPr>
          <w:trHeight w:val="33"/>
        </w:trPr>
        <w:tc>
          <w:tcPr>
            <w:tcW w:w="33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Segment Operating Income (Loss) and</w:t>
            </w: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Operating Margin</w:t>
            </w:r>
          </w:p>
        </w:tc>
        <w:tc>
          <w:tcPr>
            <w:tcW w:w="180" w:type="dxa"/>
            <w:vAlign w:val="bottom"/>
          </w:tcPr>
          <w:p>
            <w:pPr>
              <w:spacing w:after="0"/>
              <w:rPr>
                <w:sz w:val="20"/>
                <w:szCs w:val="20"/>
                <w:color w:val="auto"/>
              </w:rPr>
            </w:pPr>
          </w:p>
        </w:tc>
        <w:tc>
          <w:tcPr>
            <w:tcW w:w="1420" w:type="dxa"/>
            <w:vAlign w:val="bottom"/>
            <w:gridSpan w:val="3"/>
          </w:tcPr>
          <w:p>
            <w:pPr>
              <w:jc w:val="center"/>
              <w:ind w:right="520"/>
              <w:spacing w:after="0"/>
              <w:rPr>
                <w:sz w:val="20"/>
                <w:szCs w:val="20"/>
                <w:color w:val="auto"/>
              </w:rPr>
            </w:pPr>
            <w:r>
              <w:rPr>
                <w:rFonts w:ascii="Arial" w:cs="Arial" w:eastAsia="Arial" w:hAnsi="Arial"/>
                <w:sz w:val="13"/>
                <w:szCs w:val="13"/>
                <w:b w:val="1"/>
                <w:bCs w:val="1"/>
                <w:color w:val="auto"/>
                <w:w w:val="87"/>
              </w:rPr>
              <w:t>(in thousands)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4"/>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87"/>
              </w:rPr>
              <w:t>(in thousands)</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68,287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2"/>
              </w:rPr>
              <w:t>(10.1)%</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Gas</w:t>
            </w:r>
          </w:p>
        </w:tc>
        <w:tc>
          <w:tcPr>
            <w:tcW w:w="18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66,813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39"/>
              <w:spacing w:after="0"/>
              <w:rPr>
                <w:sz w:val="20"/>
                <w:szCs w:val="20"/>
                <w:color w:val="auto"/>
              </w:rPr>
            </w:pPr>
            <w:r>
              <w:rPr>
                <w:rFonts w:ascii="Arial" w:cs="Arial" w:eastAsia="Arial" w:hAnsi="Arial"/>
                <w:sz w:val="16"/>
                <w:szCs w:val="16"/>
                <w:color w:val="auto"/>
                <w:w w:val="88"/>
              </w:rPr>
              <w:t>11.7%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67,471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76,101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39"/>
              <w:spacing w:after="0"/>
              <w:rPr>
                <w:sz w:val="20"/>
                <w:szCs w:val="20"/>
                <w:color w:val="auto"/>
              </w:rPr>
            </w:pPr>
            <w:r>
              <w:rPr>
                <w:rFonts w:ascii="Arial" w:cs="Arial" w:eastAsia="Arial" w:hAnsi="Arial"/>
                <w:sz w:val="16"/>
                <w:szCs w:val="16"/>
                <w:color w:val="auto"/>
                <w:w w:val="92"/>
              </w:rPr>
              <w:t>12.7%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37,266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19,864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2"/>
              </w:rPr>
              <w:t>12.4%</w:t>
            </w:r>
          </w:p>
        </w:tc>
        <w:tc>
          <w:tcPr>
            <w:tcW w:w="0" w:type="dxa"/>
            <w:vAlign w:val="bottom"/>
          </w:tcPr>
          <w:p>
            <w:pPr>
              <w:spacing w:after="0"/>
              <w:rPr>
                <w:sz w:val="1"/>
                <w:szCs w:val="1"/>
                <w:color w:val="auto"/>
              </w:rPr>
            </w:pPr>
          </w:p>
        </w:tc>
      </w:tr>
      <w:tr>
        <w:trPr>
          <w:trHeight w:val="237"/>
        </w:trPr>
        <w:tc>
          <w:tcPr>
            <w:tcW w:w="33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8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(76,155)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(69,226)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96,211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3"/>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52,846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93"/>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right="119"/>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4"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938,374</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820,306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135,711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118,068</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282,677</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225,446</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(5,606)</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62,837</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57,231</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214,390</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194,342</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(3,368)</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23,416</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20,048</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820,306</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771,857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(55,440)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103,889</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48,449</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225,446</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200,249</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(14,322)</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39,519</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25,197</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194,342</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278,000</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(20,234)</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(63,424)</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(83,658)</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- 2016 vs. 2015</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Electricity revenues for 2016 increased by $118.1 million, or 14%, compared with 2015. This increase was primarily driven by increased smart metering revenues in North America and Europe, Middle East, and Africa (EMEA), higher volumes of prepaid smart metering solutions in our Asia Pacific region, and improved service revenue in North America. These improvements were partially offset by a decline in EMEA service revenue and declines in product revenue in our Latin America region. The total change in Electricity revenues was unfavorably impacted by $17.6 million due to the effect of changes in foreign currency exchange rates.</w:t>
      </w:r>
    </w:p>
    <w:p>
      <w:pPr>
        <w:spacing w:after="0" w:line="1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- 2015 vs. 2014</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for 2015 increased by $48.4 million, or 6%, compared with 2014. The increase was primarily driven by increases in product revenue from North America smart metering solutions and service revenues, and improved service revenue in EMEA. The improvements were partially offset by lower product revenue in EMEA due to the planned exit of certain markets and products under our restructuring plan. The total change in Electricity revenues was unfavorably impacted by $55.4 million due to the effect of changes in foreign currency exchange rates.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customers represented 12% and 10% of total Electricity operating segment revenues, respectively, for the year ended December 31, 2016. No customer represented more than 10% of total Electricity operating segment revenues in 2015 or 2014.</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30.1% in 2016, compared with 27.5% in 2015. The 260 basis point improvement over the prior year was primarily the result of increased sales of higher margin smart metering solutions in North America and planned reductions in lower margin product sales.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- 2015 vs.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27.5% in 2015, compared with 25.9% in 2014. The margin improvement was driven by net charges for an OpenWay project in North America of $15.9 million, which unfavorably impacted 2014 gross margin by 220 basis points. In addition, we had lower variable compensation expense in 2015. These improvements were partially offset by decreased product revenue in EMEA.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29" w:name="page30"/>
    <w:bookmarkEnd w:id="29"/>
    <w:p>
      <w:pPr>
        <w:ind w:left="220"/>
        <w:spacing w:after="0"/>
        <w:rPr>
          <w:sz w:val="20"/>
          <w:szCs w:val="20"/>
          <w:color w:val="auto"/>
        </w:rPr>
      </w:pPr>
      <w:r>
        <w:rPr>
          <w:rFonts w:ascii="Arial" w:cs="Arial" w:eastAsia="Arial" w:hAnsi="Arial"/>
          <w:sz w:val="18"/>
          <w:szCs w:val="18"/>
          <w:i w:val="1"/>
          <w:iCs w:val="1"/>
          <w:color w:val="auto"/>
        </w:rPr>
        <w:t>Operating Expenses - 2016 vs. 2015</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$20.0 million, or 10%. The increase was primarily due to increased restructuring charges. In addition, general and administrative expenses for the year ended December 31, 2015 included a recovery of $8.2 million related to the settlement of litigation arising from the SmartSynch acquisition. These increases were partially offset by a decrease in amortization of intangible assets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- 2015 vs. 2014</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expenses decreased by $83.7 million, or 30%, in 2015 compared with 2014, primarily due to reduced restructuring charges. In addition, general and administrative expenses decreased due to an $8.2 million litigation expense reimbursement related to a $14.7 million charge in 2014, which is included in general and administrative expense. Variable compensation expense included in the sales and marketing, product development, and general and administrative expenses were all lower when comparing 2015 to 2014, while amortization expense also decreased year over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569,476</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543,805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32,661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25,671</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205,063</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185,559</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20,486</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19,504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138,250</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118,088</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(1,336)</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21,498</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20,162</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543,805</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599,091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(55,286)</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185,559</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211,623</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(11,786)</w:t>
            </w: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(14,278)</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(26,064)</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118,088</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135,522</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(14,054)</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(3,380)</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(17,434)</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- 2016 vs. 2015</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Revenues increased by $25.7 million, or 5%, in 2016 compared with 2015. This was due to an increase in product revenue in North America, EMEA, and Asia Pacific. The total change in Gas revenues was unfavorably impacted by $7.0 million due to the effect of changes in foreign currency exchange rates.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- 2015 vs.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by $55.3 million, or 9%, in 2015 compared with 2014. This decrease was primarily due to the effects of changes in foreign currency exchange rates, as well as a decrease in EMEA revenues due to the phase out of a large project and a planned reduction in standard meter volumes as we shift our focus to smart meters, which did show increased sales during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in 2016, 2015, or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- 2016 vs. 2015</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was 36.0% in 2016, compared with 34.1% in 2015. The increase of 190 basis points was related to improved product mix and increased volumes.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i w:val="1"/>
          <w:iCs w:val="1"/>
          <w:color w:val="auto"/>
        </w:rPr>
        <w:t>Gross Margin - 2015 vs. 2014</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margin was 34.1% in 2015, compared with 35.3% in 2014. The decrease in gross margin was driven by lower standard meter volumes and lower margins associated with sales of first generation smart meters in EMEA. In addition, EMEA experienced higher inventory costs associated with the closure of our Naples manufacturing facility as part of our restructuring activities. This decline more than offset improvements in Latin America and Asia Pacific due to higher overall sales as well as improved sales in North America of our higher margin communication modules.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by $20.2 million, or 17%, in 2016. The increase resulted primarily due to increased restructuring charges as a result of the announcement of the 2016 Projects, partially offset by a decrease in general and administrative expense.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- 2015 vs.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decreased by $17.4 million, or 13% in 2015. This decrease was primarily due to the effects of changes in foreign currency exchange rates, along with lower restructuring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505,336</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519,422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(14,086)</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172,580</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145,680</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180" w:type="dxa"/>
            <w:vAlign w:val="bottom"/>
          </w:tcPr>
          <w:p>
            <w:pPr>
              <w:spacing w:after="0"/>
              <w:rPr>
                <w:sz w:val="20"/>
                <w:szCs w:val="20"/>
                <w:color w:val="auto"/>
              </w:rPr>
            </w:pP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29,693</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26,900</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135,314</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125,816</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(1,003)</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10,501</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9,498</w:t>
            </w:r>
          </w:p>
        </w:tc>
        <w:tc>
          <w:tcPr>
            <w:tcW w:w="0" w:type="dxa"/>
            <w:vAlign w:val="bottom"/>
          </w:tcPr>
          <w:p>
            <w:pPr>
              <w:spacing w:after="0"/>
              <w:rPr>
                <w:sz w:val="1"/>
                <w:szCs w:val="1"/>
                <w:color w:val="auto"/>
              </w:rPr>
            </w:pPr>
          </w:p>
        </w:tc>
      </w:tr>
      <w:tr>
        <w:trPr>
          <w:trHeight w:val="648"/>
        </w:trPr>
        <w:tc>
          <w:tcPr>
            <w:tcW w:w="2700" w:type="dxa"/>
            <w:vAlign w:val="bottom"/>
          </w:tcPr>
          <w:p>
            <w:pPr>
              <w:spacing w:after="0"/>
              <w:rPr>
                <w:sz w:val="24"/>
                <w:szCs w:val="24"/>
                <w:color w:val="auto"/>
              </w:rPr>
            </w:pPr>
          </w:p>
        </w:tc>
        <w:tc>
          <w:tcPr>
            <w:tcW w:w="2800" w:type="dxa"/>
            <w:vAlign w:val="bottom"/>
            <w:gridSpan w:val="3"/>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Effect of Changes in</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11"/>
                <w:szCs w:val="11"/>
                <w:color w:val="auto"/>
              </w:rPr>
            </w:pPr>
          </w:p>
        </w:tc>
        <w:tc>
          <w:tcPr>
            <w:tcW w:w="280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1"/>
                <w:szCs w:val="11"/>
                <w:color w:val="auto"/>
              </w:rPr>
            </w:pPr>
          </w:p>
        </w:tc>
        <w:tc>
          <w:tcPr>
            <w:tcW w:w="152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1"/>
              </w:rPr>
              <w:t>Constant Currency</w:t>
            </w: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Exchange Rates</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rPr>
                <w:sz w:val="1"/>
                <w:szCs w:val="1"/>
                <w:color w:val="auto"/>
              </w:rPr>
            </w:pPr>
          </w:p>
        </w:tc>
      </w:tr>
      <w:tr>
        <w:trPr>
          <w:trHeight w:val="217"/>
        </w:trPr>
        <w:tc>
          <w:tcPr>
            <w:tcW w:w="2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359"/>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519,422</w:t>
            </w:r>
          </w:p>
        </w:tc>
        <w:tc>
          <w:tcPr>
            <w:tcW w:w="11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576,668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(72,902)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15,656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(57,246)</w:t>
            </w:r>
          </w:p>
        </w:tc>
        <w:tc>
          <w:tcPr>
            <w:tcW w:w="0" w:type="dxa"/>
            <w:vAlign w:val="bottom"/>
          </w:tcPr>
          <w:p>
            <w:pPr>
              <w:spacing w:after="0"/>
              <w:rPr>
                <w:sz w:val="1"/>
                <w:szCs w:val="1"/>
                <w:color w:val="auto"/>
              </w:rPr>
            </w:pPr>
          </w:p>
        </w:tc>
      </w:tr>
      <w:tr>
        <w:trPr>
          <w:trHeight w:val="237"/>
        </w:trPr>
        <w:tc>
          <w:tcPr>
            <w:tcW w:w="270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145,680</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202,178</w:t>
            </w:r>
          </w:p>
        </w:tc>
        <w:tc>
          <w:tcPr>
            <w:tcW w:w="24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(25,156)</w:t>
            </w:r>
          </w:p>
        </w:tc>
        <w:tc>
          <w:tcPr>
            <w:tcW w:w="18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(31,342)</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(56,498)</w:t>
            </w: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125,816</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130,822</w:t>
            </w: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(16,723)</w:t>
            </w: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11,717</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(5,006)</w:t>
            </w:r>
          </w:p>
        </w:tc>
        <w:tc>
          <w:tcPr>
            <w:tcW w:w="0" w:type="dxa"/>
            <w:vAlign w:val="bottom"/>
          </w:tcPr>
          <w:p>
            <w:pPr>
              <w:spacing w:after="0"/>
              <w:rPr>
                <w:sz w:val="1"/>
                <w:szCs w:val="1"/>
                <w:color w:val="auto"/>
              </w:rPr>
            </w:pPr>
          </w:p>
        </w:tc>
      </w:tr>
      <w:tr>
        <w:trPr>
          <w:trHeight w:val="33"/>
        </w:trPr>
        <w:tc>
          <w:tcPr>
            <w:tcW w:w="27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- 2016 vs. 2015</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decreased $14.1 million, or 3%, in 2016. This decrease was primarily due to the effects of changes in foreign currency exchange rates, along with lower meter volumes in EMEA. This was partially offset by improved product sales and services revenues in North America and Asia Pacific.</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- 2015 vs. 2014</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decreased $57.2 million, or 10%, in 2015. This decrease was primarily due to the effects of changes in foreign currency exchange rates. Excluding those impacts, there was an increase of $15.7 million, driven primarily by growth in product sales of smart meters and modules in North America and EMEA, partially offset by lower product sales in Latin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 revenues in 2016, 2015, or 2014.</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increased to 34.2% in 2016, compared with 28.0% in 2015, driven by reduced warranty charges in 2016. Gross margin in 2015 was unfavorably impacted 570 basis points by a warranty charge.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68" w:right="23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i w:val="1"/>
          <w:iCs w:val="1"/>
          <w:color w:val="auto"/>
        </w:rPr>
        <w:t>Gross Margin - 2015 vs. 2014</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decreased to 28.0% in 2015, compared with 35.1% in 2014, primarily as the result of a warranty charge of $29.4 million. This warranty charge unfavorably impacted 2015 gross margin by 570 basis points.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- 2016 vs. 2015</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$9.5 million, or 8%, in 2016. The increase was primarily due to increased restructuring charges as a result of the commencement of the 2016 Projects.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- 2015 vs. 2014</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decreased by $5.0 million, or 4% in 2015. This decrease was primarily due to decreases in sales and marketing and amortization expenses. Operating expenses were favorably impacted by $16.7 million in foreign currency exchange rate impacts.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increased $10.6 million, or 16%, in 2016. The increase was primarily in general and administrative expense due to higher professional service fees and variable compensation.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unallocated expenses decreased $3.6 million, or 5%, in 2015. This decrease was primarily due to reduced restructuring expense and a decrease in variable compensation. These decreases were partially offset by higher litigation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115,842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132,973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(47,528)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(48,951)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(41,496)</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(63,023)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(91,877)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(13,492)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(12,034)</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at December 31, 2016 were $133.6 million, compared with $131.0 million at December 31, 2015. The moderate increase in cash and cash equivalents was primarily the result of an increase in cash flow provided by operating activities, which was substantially offset by an increase in cash used in financing activities. Cash and cash equivalents at December 31, 2015 were higher compared with the prior year primarily due to an increase in cash provided by financing activities, partially offset by a decrease in cash flow provided by operating activities.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cash provided by operating activities in 2016 was $42.5 million higher than in 2015. This increase was primarily due to an improvement in net income (loss) adjusted for non-cash items and changes in operating asset and liabilities. These adjustments include a $75.1 million decreased use of cash for inventory caused by a prior year buildup for expected demand. In addition, $49.1 million of restructuring expense was recognized related to the 2016 Projects, much of which will be paid in future periods or relates to non-cash items. These improvements were partially offset by the $29.4 million warranty charge recognized during the year ended December 31, 2015 related to a product replacement notification to customers of our Water business line for which many replacements have been processed during 2016. In addition, there was a $37.8 million net reduction for unearned revenue recognized during the year for which cash was collected in previous years.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in 2015 was $59.6 million lower than 2014. This decrease was primarily due to a $52.7 million increase in inventory in 2015 for expected demand, and a $57.4 million increased use of cash in other current liabilities due to payments and releases of significant restructuring accruals in 2015, compared with a substantial increase in restructuring liabilities in 2014. Additionally, while warranty liabilities increased $18.0 million in 2015, cash paid for claims activity was lower compared with 2014, resulting in a $27.5 million decreased use of cash. A year over year increase of $37.3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in net income (loss) and a $36.2 million increase in deferred income taxes also increased cash provided by operating activities as compared with 2014.</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 in 2016 was $1.4 million lower than in 2015.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in 2015 was $7.5 million higher than in 2014. This increase was primarily the result of an immaterial acquisition.</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Net cash used by financing activities in 2016 was $70.8 million greater than in 2015, primarily a result of the net repayment of $63.2 million of borrowings in 2016, compared to utilizing $50.5 million of net proceeds during the same period in 2015. This was partially offset by a $38.3 million reduction in cash used for repurchases of common stock during the year ended December 31, 2016, compared with the same period in 2015.</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in 2015 was $99.6 million higher than in 2014, primarily as a result of $65.8 million of additional proceeds from borrowings and a $39.4 million decrease in debt repayments.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 decrease of $2.7 million, a decrease of $13.5 million, and a decrease of $12.0 million in 2016, 2015, and 2014, respectively. Our foreign currency exposure relates to non-U.S. dollar denominated balances in our international subsidiary operations, the most significant of which is the euro.</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115,842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73,350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132,973</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(43,543)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(43,918)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(44,495)</w:t>
            </w:r>
          </w:p>
        </w:tc>
      </w:tr>
      <w:tr>
        <w:trPr>
          <w:trHeight w:val="33"/>
        </w:trPr>
        <w:tc>
          <w:tcPr>
            <w:tcW w:w="6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72,299</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29,432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88,478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fluctuated primarily as a result of changes in cash provided by operating activities. See the cash flow discussion of operating activities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2016 and December 31, 2015 that we believe are reasonably likely to have a current or future effect on our financial condition, results of operations, or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2016, as well as an estimate of the timing in which these obligations are expected to be satisfied.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225,877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154,329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103,790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98,186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54,417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13,128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11,389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8,510</w:t>
            </w: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171,793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171,251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 reflected on the balance sheet under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700" w:type="dxa"/>
            <w:vAlign w:val="bottom"/>
            <w:shd w:val="clear" w:color="auto" w:fill="CCEEFF"/>
          </w:tcPr>
          <w:p>
            <w:pPr>
              <w:ind w:left="120"/>
              <w:spacing w:after="0" w:line="239"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94,060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55,653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25,404</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649,937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204,657</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134,443</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276,923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33,914</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Borrowings are disclosed within Item 8: “Financial Statements and Supplementary Data, Note 6: Debt” included in this Annual Report on Form 10-K, with the addition of estimated interest expense but not including the amortization of prepaid debt fees.</w:t>
      </w:r>
    </w:p>
    <w:p>
      <w:pPr>
        <w:spacing w:after="0" w:line="172" w:lineRule="exact"/>
        <w:rPr>
          <w:rFonts w:ascii="Arial" w:cs="Arial" w:eastAsia="Arial" w:hAnsi="Arial"/>
          <w:sz w:val="22"/>
          <w:szCs w:val="22"/>
          <w:color w:val="auto"/>
          <w:vertAlign w:val="superscript"/>
        </w:rPr>
      </w:pPr>
    </w:p>
    <w:p>
      <w:pPr>
        <w:ind w:left="340" w:hanging="332"/>
        <w:spacing w:after="0" w:line="229" w:lineRule="auto"/>
        <w:tabs>
          <w:tab w:leader="none" w:pos="34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172" w:lineRule="exact"/>
        <w:rPr>
          <w:rFonts w:ascii="Arial" w:cs="Arial" w:eastAsia="Arial" w:hAnsi="Arial"/>
          <w:sz w:val="21"/>
          <w:szCs w:val="21"/>
          <w:color w:val="auto"/>
          <w:vertAlign w:val="superscript"/>
        </w:rPr>
      </w:pPr>
    </w:p>
    <w:p>
      <w:pPr>
        <w:jc w:val="both"/>
        <w:ind w:left="340" w:hanging="332"/>
        <w:spacing w:after="0" w:line="230"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2016 if the commitments were canceled.</w:t>
      </w:r>
    </w:p>
    <w:p>
      <w:pPr>
        <w:spacing w:after="0" w:line="187" w:lineRule="exact"/>
        <w:rPr>
          <w:rFonts w:ascii="Arial" w:cs="Arial" w:eastAsia="Arial" w:hAnsi="Arial"/>
          <w:sz w:val="22"/>
          <w:szCs w:val="22"/>
          <w:color w:val="auto"/>
          <w:vertAlign w:val="superscript"/>
        </w:rPr>
      </w:pPr>
    </w:p>
    <w:p>
      <w:pPr>
        <w:jc w:val="both"/>
        <w:ind w:left="340" w:hanging="332"/>
        <w:spacing w:after="0" w:line="260"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 xml:space="preserve">Other long-term liabilities consist of warranty obligations, estimated pension benefit payments, and other obligations. Estimated pension benefit payments include amounts from 2018-2026. Long-term unrecognized tax benefits totaling $28.5 million (net of pre-payments), which include accrued interest and penalties, are not included in the above contractual obligations and commitments table as we cannot reliably estimate the period of cash settlement with the respective taxing authorities. Additionally, because the amount and timing of the future cash outflows are uncertain, deferred revenue totaling $49.3 million, which includes deferred revenue related to extended warranty guarantees, is not included in the table. For further information on defined benefit pension plans, income taxes, and warranty obligations and deferred revenue for extended warranties, see Item 8: </w:t>
      </w:r>
      <w:r>
        <w:rPr>
          <w:rFonts w:ascii="Arial" w:cs="Arial" w:eastAsia="Arial" w:hAnsi="Arial"/>
          <w:sz w:val="18"/>
          <w:szCs w:val="18"/>
          <w:color w:val="auto"/>
        </w:rPr>
        <w:t>“</w:t>
      </w:r>
      <w:r>
        <w:rPr>
          <w:rFonts w:ascii="Arial" w:cs="Arial" w:eastAsia="Arial" w:hAnsi="Arial"/>
          <w:sz w:val="16"/>
          <w:szCs w:val="16"/>
          <w:color w:val="auto"/>
        </w:rPr>
        <w:t>Financial Statements and Supplementary Data, Notes 8, 11, and 12,</w:t>
      </w:r>
      <w:r>
        <w:rPr>
          <w:rFonts w:ascii="Arial" w:cs="Arial" w:eastAsia="Arial" w:hAnsi="Arial"/>
          <w:sz w:val="18"/>
          <w:szCs w:val="18"/>
          <w:color w:val="auto"/>
        </w:rPr>
        <w:t>”</w:t>
      </w:r>
      <w:r>
        <w:rPr>
          <w:rFonts w:ascii="Arial" w:cs="Arial" w:eastAsia="Arial" w:hAnsi="Arial"/>
          <w:sz w:val="16"/>
          <w:szCs w:val="16"/>
          <w:color w:val="auto"/>
        </w:rPr>
        <w:t xml:space="preserve"> respectively, included in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$319.4 million at December 31, 2016.</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The revolver also contains a $250 million letter of credit sub-facility and a $50 million swingline sub-facility (available for immediate cash needs at a higher interest rate). At December 31, 2016, $97.2 million was outstanding under the revolver, and $356.7 million was available for additional borrowings or standby letters of credit. At December 31, 2016, $46.1 million was utilized by outstanding standby letters of credit, resulting in $203.9 million available for additional letters of credit.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the term loan and the revolver under our 2015 credit facility, refer to Item 8: “Financial Statements and Supplementary Data,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 Debt” included in this Annual Report on Form 10-K.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 included in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34" w:name="page35"/>
    <w:bookmarkEnd w:id="34"/>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pre-tax restructuring charges associated with the 2016 Projects of approximately $68 million, with expected annualized savings of approximately $40 million upon completion. Of the total estimated charge, more than 90% is expected to result in cash expenditures.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2016, $48.0 million was accrued for the restructuring projects, of which $26.2 million is expected to be paid over the next 12 months.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our restructuring activities, refer to Item 8: “Financial Statements and Supplementary Data, Note 13: Restructuring.”</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February 23, 2017, Itron's Board of Directors authorized a new repurchase program of up to $50 million of our common stock over a 12-month period, beginning February 23, 2017. Repurchases are made in the open market or in privately negotiated transactions and in accordance with applicable securities laws. Repurchases are subject to the Company's alternative uses of capital as well as financial, market, and industry conditions.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as a percentage of income (loss) before tax typically differs from the U.S.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uncertain tax positions, among other items. Changes in tax laws, valuation allowances, and unanticipated tax liabilities could significantly impact our tax rate.</w:t>
      </w:r>
    </w:p>
    <w:p>
      <w:pPr>
        <w:sectPr>
          <w:pgSz w:w="11900" w:h="16838" w:orient="portrait"/>
          <w:cols w:equalWidth="0" w:num="1">
            <w:col w:w="11420"/>
          </w:cols>
          <w:pgMar w:left="240" w:top="584" w:right="2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Our cash income tax payments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 taxes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income taxes paid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and local income taxes paid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income taxes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8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15,700</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3,300</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4,526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10,761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11,946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14,484</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24,287</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29,189</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18,222</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-711200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-368300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84" w:right="239" w:bottom="1440" w:gutter="0" w:footer="0" w:header="0"/>
          <w:type w:val="continuous"/>
        </w:sectPr>
      </w:pP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$22 million in federal taxes, $9 million in state taxes and $15 million in foreign and local income taxes in 2017.</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U.S. deferred taxes related to the cash in certain foreign subsidiaries because our investment is considered permanent in duration. As of December 31, 2016, there was $42.1 million of cash and short-term investments held by certain foreign subsidiaries in which we are permanently reinvested for tax purposes. If this cash were repatriated to fund U.S. operations, additional tax costs may be incurred.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2016, $28.0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2016, we have accrued $23.0 million of bonus and profit sharing plans expense for the expected achievement of financial and nonfinancial targets, which we expect to pay in cash during the first quarter of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type w:val="continuous"/>
        </w:sectPr>
      </w:pPr>
    </w:p>
    <w:bookmarkStart w:id="35" w:name="page36"/>
    <w:bookmarkEnd w:id="35"/>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 both included in this Annual Report on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Note 12: Commitments and Contingencies” included in this Annual Report on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These estimates and assumptions are affected by management’s application of accounting policies. Critical accounting policies for us include revenue recognition, warranty, restructuring, income taxes, goodwill and intangible assets, defined benefit pension plans, contingencies, and stock-based compensation. Refer to Item 8: “Financial Statements and Supplementary Data, Note 1: Summary of Significant Accounting Policies” included in this Annual Report on Form 10-K for further disclosures regarding accounting policies and new accounting pronouncements.</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for implementation services, 4) upon receipt of customer acceptance, or 5) transfer of title and risk of loss. A majority of our revenue is recognized when products are shipped to or received by a customer or when services are provided.</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implementation services, revenue is recognized using the percentage-of-completion method of contract accounting if project costs can be reliably estimated, or the completed contract method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 and estimates may adversely or favorably affect financial performance.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contract accounting, 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which could become material in an event of failure to meet the contractual deadlines. At the inception of the arrangement and on an ongoing basis, we evaluate if the liquidated damages represent contingent revenue and, if so, we reduce the amount of consideration allocated to the delivered products and services and recognize it as a reduction in revenue in the period of default. If the arrangement is subject to contract accounting, liquidated damages resulting from anticipated events of default are estimated and are accounted for as a reduction in revenue in the period in which the liquidated damages are deemed probable of occurrence and are reasonably estimable.</w:t>
      </w:r>
    </w:p>
    <w:p>
      <w:pPr>
        <w:spacing w:after="0" w:line="1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we use third-party evidence (TPE). We define VSOE as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The objective of ESP is to determine the price, or fair value, at which we would transact if the product or service were regularly sold by us on a standalone basis. Our determination of ESP involves a weighting of several factors based on the specific facts and circumstances of the arrangement. The factors considered include historical sales, the cost to produce the deliverable, the anticipated margin on that deliverable, our ongoing pricing strategy and policies, and the characteristics of the varying markets in which the deliverable is sold.</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8" w:right="239" w:bottom="1440" w:gutter="0" w:footer="0" w:header="0"/>
        </w:sectPr>
      </w:pPr>
    </w:p>
    <w:bookmarkStart w:id="37" w:name="page38"/>
    <w:bookmarkEnd w:id="37"/>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and uncertain tax positions, among other items. Changes in tax laws, valuation allowances, and unanticipated tax liabilities could significantly impact our tax rate.</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8"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Based on our analysis as of October 1, 2016, all reporting units' fair values exceeded their respective carrying values by at least 100%. Changes in market demand, fluctuations in the economies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condition.</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Brazil,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0.75% and 1.75%, respectively. The weighted average discount rate used to measure the projected benefit obligation for all of the plans at December 31, 2016 was 2.18%. A change of 25 basis points in the discount rate would change our projected benefit obligation by approximately $4.6 million. The financial and actuarial assumptions used at December 31, 2016 may differ materially from actual results due to changing market and economic conditions and other factors. These differences could result in a significant change in the amount of pension expense recognized in future periods.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market, and/or performance vesting conditions. We also grant phantom stock units, which are settled in cash upon vesting and accounted for as liability-based awards.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68" w:right="239" w:bottom="1440" w:gutter="0" w:footer="0" w:header="0"/>
        </w:sectPr>
      </w:pPr>
    </w:p>
    <w:bookmarkStart w:id="39" w:name="page40"/>
    <w:bookmarkEnd w:id="39"/>
    <w:p>
      <w:pPr>
        <w:jc w:val="both"/>
        <w:ind w:right="20"/>
        <w:spacing w:after="0" w:line="308" w:lineRule="auto"/>
        <w:rPr>
          <w:sz w:val="20"/>
          <w:szCs w:val="20"/>
          <w:color w:val="auto"/>
        </w:rPr>
      </w:pPr>
      <w:r>
        <w:rPr>
          <w:rFonts w:ascii="Arial" w:cs="Arial" w:eastAsia="Arial" w:hAnsi="Arial"/>
          <w:sz w:val="17"/>
          <w:szCs w:val="17"/>
          <w:color w:val="auto"/>
        </w:rPr>
        <w:t>awards of stock options and ultimately the expense we recognize. We consider many factors when estimating expected forfeitures, including types of awards, employee class, and historical experience. Actual results and future estimates may differ substantially from our current estimates.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Non-GAAP operating expenses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non-GAAP operating income</w:t>
      </w:r>
      <w:r>
        <w:rPr>
          <w:rFonts w:ascii="Arial" w:cs="Arial" w:eastAsia="Arial" w:hAnsi="Arial"/>
          <w:sz w:val="17"/>
          <w:szCs w:val="17"/>
          <w:color w:val="auto"/>
        </w:rPr>
        <w:t xml:space="preserve"> – We define non-GAAP operating expenses as operating expenses excluding certain expenses related to the amortization of intangible assets, restructuring, acquisitions and goodwill impairment. We define non-GAAP operating income as operating income excluding the expenses related to the amortization of intangible assets, restructuring, acquisitions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Non-GAAP net income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non-GAAP diluted EPS</w:t>
      </w:r>
      <w:r>
        <w:rPr>
          <w:rFonts w:ascii="Arial" w:cs="Arial" w:eastAsia="Arial" w:hAnsi="Arial"/>
          <w:sz w:val="18"/>
          <w:szCs w:val="18"/>
          <w:color w:val="auto"/>
        </w:rPr>
        <w:t xml:space="preserve"> – We define non-GAAP net income as net income (loss) attributable to Itron, Inc. excluding the expenses associated with amortization of intangible assets, restructuring, acquisitions, goodwill impairment and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amortization of intangible assets, restructuring, acquisition related expense, goodwill impairment and (c) exclude the tax expense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8" w:right="239" w:bottom="1440" w:gutter="0" w:footer="0" w:header="0"/>
        </w:sectPr>
      </w:pPr>
    </w:p>
    <w:bookmarkStart w:id="40" w:name="page41"/>
    <w:bookmarkEnd w:id="40"/>
    <w:p>
      <w:pPr>
        <w:jc w:val="both"/>
        <w:spacing w:after="0" w:line="276" w:lineRule="auto"/>
        <w:rPr>
          <w:sz w:val="20"/>
          <w:szCs w:val="20"/>
          <w:color w:val="auto"/>
        </w:rPr>
      </w:pPr>
      <w:r>
        <w:rPr>
          <w:rFonts w:ascii="Arial" w:cs="Arial" w:eastAsia="Arial" w:hAnsi="Arial"/>
          <w:sz w:val="17"/>
          <w:szCs w:val="17"/>
          <w:u w:val="single" w:color="auto"/>
          <w:color w:val="auto"/>
        </w:rPr>
        <w:t>Constant currency</w:t>
      </w:r>
      <w:r>
        <w:rPr>
          <w:rFonts w:ascii="Arial" w:cs="Arial" w:eastAsia="Arial" w:hAnsi="Arial"/>
          <w:sz w:val="17"/>
          <w:szCs w:val="17"/>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free cash flow, and operating income by segment with the most directly comparable GAAP financial measures.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Pr>
          <w:p>
            <w:pPr>
              <w:ind w:left="40"/>
              <w:spacing w:after="0"/>
              <w:rPr>
                <w:sz w:val="20"/>
                <w:szCs w:val="20"/>
                <w:color w:val="auto"/>
              </w:rPr>
            </w:pPr>
            <w:r>
              <w:rPr>
                <w:rFonts w:ascii="Arial" w:cs="Arial" w:eastAsia="Arial" w:hAnsi="Arial"/>
                <w:sz w:val="13"/>
                <w:szCs w:val="13"/>
                <w:color w:val="auto"/>
              </w:rPr>
              <w:t>(Unaudited; in thousands, except per share data)</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442"/>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TOTAL COMPANY RECONCILIATIONS</w:t>
            </w: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6080" w:type="dxa"/>
            <w:vAlign w:val="bottom"/>
          </w:tcPr>
          <w:p>
            <w:pPr>
              <w:spacing w:after="0"/>
              <w:rPr>
                <w:sz w:val="22"/>
                <w:szCs w:val="22"/>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2016</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EXPENSES</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operating expenses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564,109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503,839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613,570</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(31,673)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(43,619)</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7,263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(49,482)</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 related recovery (expense)</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197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5,538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(15,538)</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Non-GAAP operating expenses</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490,104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484,967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504,931</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GAAP operating income</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96,211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52,846</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480</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31,673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43,619</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49,090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(7,263)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49,482</w:t>
            </w: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related (recovery) expense</w:t>
            </w:r>
          </w:p>
        </w:tc>
        <w:tc>
          <w:tcPr>
            <w:tcW w:w="1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(5,538)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15,538</w:t>
            </w:r>
          </w:p>
        </w:tc>
      </w:tr>
      <w:tr>
        <w:trPr>
          <w:trHeight w:val="282"/>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Non-GAAP operating income</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170,216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71,718</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109,119</w:t>
            </w:r>
          </w:p>
        </w:tc>
      </w:tr>
      <w:tr>
        <w:trPr>
          <w:trHeight w:val="225"/>
        </w:trPr>
        <w:tc>
          <w:tcPr>
            <w:tcW w:w="6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NET INCOME &amp; DILUTED EPS</w:t>
            </w: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GAAP net income (loss) attributable to Itron, Inc.</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31,770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12,678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(23,670)</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25,112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31,673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43,619</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debt placement fees</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1,512</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49,090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(7,263)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49,482</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related (recovery) expense</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15,538</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Income tax effect of non-GAAP adjustments</w:t>
            </w:r>
            <w:r>
              <w:rPr>
                <w:rFonts w:ascii="Arial" w:cs="Arial" w:eastAsia="Arial" w:hAnsi="Arial"/>
                <w:sz w:val="8"/>
                <w:szCs w:val="8"/>
                <w:color w:val="auto"/>
              </w:rPr>
              <w:t>(1)</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(8,478)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(25,860)</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Non-GAAP net income</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98,284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27,981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60,621</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Non-GAAP diluted EPS</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0.73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1.54</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5"/>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Weighted average common shares outstanding - Diluted</w:t>
            </w:r>
          </w:p>
        </w:tc>
        <w:tc>
          <w:tcPr>
            <w:tcW w:w="11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38,643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38,506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39,461</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ADJUSTED EBITDA</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GAAP net income (loss) attributable to Itron, Inc.</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31,770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12,678</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(23,670)</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Interest income</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(865)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Interest expense</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10,948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12,289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11,602</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Income tax provision</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49,574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22,099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4,035</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Depreciation and amortization</w:t>
            </w:r>
          </w:p>
        </w:tc>
        <w:tc>
          <w:tcPr>
            <w:tcW w:w="11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68,318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75,993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98,139</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49,090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49,482</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 related (recovery) expense</w:t>
            </w:r>
          </w:p>
        </w:tc>
        <w:tc>
          <w:tcPr>
            <w:tcW w:w="1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(5,538)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15,538</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Adjusted EBITDA</w:t>
            </w:r>
          </w:p>
        </w:tc>
        <w:tc>
          <w:tcPr>
            <w:tcW w:w="110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208,638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109,497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154,632</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FREE CASH FLOW</w:t>
            </w:r>
          </w:p>
        </w:tc>
        <w:tc>
          <w:tcPr>
            <w:tcW w:w="1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Net cash provided by operating activities</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115,842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73,350</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132,973</w:t>
            </w: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Acquisitions of property, plant, and equipment</w:t>
            </w:r>
          </w:p>
        </w:tc>
        <w:tc>
          <w:tcPr>
            <w:tcW w:w="11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(43,543)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(43,918)</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(44,495)</w:t>
            </w:r>
          </w:p>
        </w:tc>
      </w:tr>
      <w:tr>
        <w:trPr>
          <w:trHeight w:val="242"/>
        </w:trPr>
        <w:tc>
          <w:tcPr>
            <w:tcW w:w="6080" w:type="dxa"/>
            <w:vAlign w:val="bottom"/>
          </w:tcPr>
          <w:p>
            <w:pPr>
              <w:ind w:left="280"/>
              <w:spacing w:after="0"/>
              <w:rPr>
                <w:sz w:val="20"/>
                <w:szCs w:val="20"/>
                <w:color w:val="auto"/>
              </w:rPr>
            </w:pPr>
            <w:r>
              <w:rPr>
                <w:rFonts w:ascii="Arial" w:cs="Arial" w:eastAsia="Arial" w:hAnsi="Arial"/>
                <w:sz w:val="13"/>
                <w:szCs w:val="13"/>
                <w:color w:val="auto"/>
              </w:rPr>
              <w:t>Free Cash Flow</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72,299</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29,432</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88,478</w:t>
            </w:r>
          </w:p>
        </w:tc>
      </w:tr>
      <w:tr>
        <w:trPr>
          <w:trHeight w:val="20"/>
        </w:trPr>
        <w:tc>
          <w:tcPr>
            <w:tcW w:w="6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55" w:lineRule="auto"/>
        <w:tabs>
          <w:tab w:leader="none" w:pos="340" w:val="left"/>
        </w:tabs>
        <w:numPr>
          <w:ilvl w:val="0"/>
          <w:numId w:val="18"/>
        </w:numPr>
        <w:rPr>
          <w:rFonts w:ascii="Arial" w:cs="Arial" w:eastAsia="Arial" w:hAnsi="Arial"/>
          <w:sz w:val="9"/>
          <w:szCs w:val="9"/>
          <w:color w:val="auto"/>
        </w:rPr>
      </w:pPr>
      <w:r>
        <w:rPr>
          <w:rFonts w:ascii="Arial" w:cs="Arial" w:eastAsia="Arial" w:hAnsi="Arial"/>
          <w:sz w:val="13"/>
          <w:szCs w:val="13"/>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368" w:right="239" w:bottom="406"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368" w:right="239" w:bottom="406"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0"/>
        </w:trPr>
        <w:tc>
          <w:tcPr>
            <w:tcW w:w="6080" w:type="dxa"/>
            <w:vAlign w:val="bottom"/>
          </w:tcPr>
          <w:p>
            <w:pPr>
              <w:ind w:left="40"/>
              <w:spacing w:after="0"/>
              <w:rPr>
                <w:sz w:val="20"/>
                <w:szCs w:val="20"/>
                <w:color w:val="auto"/>
              </w:rPr>
            </w:pPr>
            <w:r>
              <w:rPr>
                <w:rFonts w:ascii="Arial" w:cs="Arial" w:eastAsia="Arial" w:hAnsi="Arial"/>
                <w:sz w:val="13"/>
                <w:szCs w:val="13"/>
                <w:color w:val="auto"/>
              </w:rPr>
              <w:t>(Unaudited; in thousands)</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442"/>
        </w:trPr>
        <w:tc>
          <w:tcPr>
            <w:tcW w:w="6080" w:type="dxa"/>
            <w:vAlign w:val="bottom"/>
          </w:tcPr>
          <w:p>
            <w:pPr>
              <w:ind w:left="40"/>
              <w:spacing w:after="0"/>
              <w:rPr>
                <w:sz w:val="20"/>
                <w:szCs w:val="20"/>
                <w:color w:val="auto"/>
              </w:rPr>
            </w:pPr>
            <w:r>
              <w:rPr>
                <w:rFonts w:ascii="Arial" w:cs="Arial" w:eastAsia="Arial" w:hAnsi="Arial"/>
                <w:sz w:val="13"/>
                <w:szCs w:val="13"/>
                <w:b w:val="1"/>
                <w:bCs w:val="1"/>
                <w:color w:val="auto"/>
              </w:rPr>
              <w:t>SEGMENT RECONCILIATIONS</w:t>
            </w:r>
          </w:p>
        </w:tc>
        <w:tc>
          <w:tcPr>
            <w:tcW w:w="1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64"/>
        </w:trPr>
        <w:tc>
          <w:tcPr>
            <w:tcW w:w="6080" w:type="dxa"/>
            <w:vAlign w:val="bottom"/>
          </w:tcPr>
          <w:p>
            <w:pPr>
              <w:spacing w:after="0"/>
              <w:rPr>
                <w:sz w:val="22"/>
                <w:szCs w:val="22"/>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2016</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2015</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7"/>
              <w:spacing w:after="0"/>
              <w:rPr>
                <w:sz w:val="20"/>
                <w:szCs w:val="20"/>
                <w:color w:val="auto"/>
              </w:rPr>
            </w:pPr>
            <w:r>
              <w:rPr>
                <w:rFonts w:ascii="Arial" w:cs="Arial" w:eastAsia="Arial" w:hAnsi="Arial"/>
                <w:sz w:val="13"/>
                <w:szCs w:val="13"/>
                <w:b w:val="1"/>
                <w:bCs w:val="1"/>
                <w:color w:val="auto"/>
              </w:rPr>
              <w:t>2014</w:t>
            </w: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INCOME - ELECTRICITY</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Electricity - GAAP operating income (loss)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68,287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31,104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(77,751)</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Amortization of intangible assets</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13,273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17,663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24,452</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7,694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20,430</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Acquisition related (recovery) expense</w:t>
            </w: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(5,655)</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15,491</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Electricity - Non-GAAP operating income (loss)</w:t>
            </w:r>
          </w:p>
        </w:tc>
        <w:tc>
          <w:tcPr>
            <w:tcW w:w="112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89,057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35,859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(17,378)</w:t>
            </w: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 - GAS</w:t>
            </w: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Gas - GAAP operating income</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66,813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67,471</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76,101</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7,787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10,471</w:t>
            </w:r>
          </w:p>
        </w:tc>
      </w:tr>
      <w:tr>
        <w:trPr>
          <w:trHeight w:val="264"/>
        </w:trPr>
        <w:tc>
          <w:tcPr>
            <w:tcW w:w="6080" w:type="dxa"/>
            <w:vAlign w:val="bottom"/>
            <w:tcBorders>
              <w:bottom w:val="single" w:sz="8" w:color="CCEEFF"/>
            </w:tcBorders>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25,744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9,149</w:t>
            </w:r>
          </w:p>
        </w:tc>
      </w:tr>
      <w:tr>
        <w:trPr>
          <w:trHeight w:val="242"/>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Gas - Non-GAAP operating income</w:t>
            </w:r>
          </w:p>
        </w:tc>
        <w:tc>
          <w:tcPr>
            <w:tcW w:w="1120" w:type="dxa"/>
            <w:vAlign w:val="bottom"/>
            <w:tcBorders>
              <w:bottom w:val="single" w:sz="8" w:color="auto"/>
            </w:tcBorders>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99,013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74,971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95,721</w:t>
            </w: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6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0"/>
        </w:trPr>
        <w:tc>
          <w:tcPr>
            <w:tcW w:w="6080" w:type="dxa"/>
            <w:vAlign w:val="bottom"/>
            <w:shd w:val="clear" w:color="auto" w:fill="CCEEFF"/>
          </w:tcPr>
          <w:p>
            <w:pPr>
              <w:ind w:left="160"/>
              <w:spacing w:after="0"/>
              <w:rPr>
                <w:sz w:val="20"/>
                <w:szCs w:val="20"/>
                <w:color w:val="auto"/>
              </w:rPr>
            </w:pPr>
            <w:r>
              <w:rPr>
                <w:rFonts w:ascii="Arial" w:cs="Arial" w:eastAsia="Arial" w:hAnsi="Arial"/>
                <w:sz w:val="13"/>
                <w:szCs w:val="13"/>
                <w:b w:val="1"/>
                <w:bCs w:val="1"/>
                <w:color w:val="auto"/>
              </w:rPr>
              <w:t>NON-GAAP OPERATING INCOME - WATER</w:t>
            </w: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6080" w:type="dxa"/>
            <w:vAlign w:val="bottom"/>
          </w:tcPr>
          <w:p>
            <w:pPr>
              <w:ind w:left="280"/>
              <w:spacing w:after="0"/>
              <w:rPr>
                <w:sz w:val="20"/>
                <w:szCs w:val="20"/>
                <w:color w:val="auto"/>
              </w:rPr>
            </w:pPr>
            <w:r>
              <w:rPr>
                <w:rFonts w:ascii="Arial" w:cs="Arial" w:eastAsia="Arial" w:hAnsi="Arial"/>
                <w:sz w:val="13"/>
                <w:szCs w:val="13"/>
                <w:color w:val="auto"/>
              </w:rPr>
              <w:t>Water - GAAP operating income</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37,266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19,864</w:t>
            </w:r>
          </w:p>
        </w:tc>
        <w:tc>
          <w:tcPr>
            <w:tcW w:w="120" w:type="dxa"/>
            <w:vAlign w:val="bottom"/>
          </w:tcPr>
          <w:p>
            <w:pPr>
              <w:spacing w:after="0"/>
              <w:rPr>
                <w:sz w:val="22"/>
                <w:szCs w:val="22"/>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71,356</w:t>
            </w:r>
          </w:p>
        </w:tc>
      </w:tr>
      <w:tr>
        <w:trPr>
          <w:trHeight w:val="278"/>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6,223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8,696</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13,116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ind w:right="37"/>
              <w:spacing w:after="0"/>
              <w:rPr>
                <w:sz w:val="20"/>
                <w:szCs w:val="20"/>
                <w:color w:val="auto"/>
              </w:rPr>
            </w:pPr>
            <w:r>
              <w:rPr>
                <w:rFonts w:ascii="Arial" w:cs="Arial" w:eastAsia="Arial" w:hAnsi="Arial"/>
                <w:sz w:val="13"/>
                <w:szCs w:val="13"/>
                <w:color w:val="auto"/>
              </w:rPr>
              <w:t>778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2,335</w:t>
            </w: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related expense</w:t>
            </w:r>
          </w:p>
        </w:tc>
        <w:tc>
          <w:tcPr>
            <w:tcW w:w="1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Water - Non-GAAP operating income</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55,765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26,969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82,387</w:t>
            </w:r>
          </w:p>
        </w:tc>
      </w:tr>
      <w:tr>
        <w:trPr>
          <w:trHeight w:val="225"/>
        </w:trPr>
        <w:tc>
          <w:tcPr>
            <w:tcW w:w="60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62"/>
        </w:trPr>
        <w:tc>
          <w:tcPr>
            <w:tcW w:w="6080" w:type="dxa"/>
            <w:vAlign w:val="bottom"/>
          </w:tcPr>
          <w:p>
            <w:pPr>
              <w:ind w:left="160"/>
              <w:spacing w:after="0"/>
              <w:rPr>
                <w:sz w:val="20"/>
                <w:szCs w:val="20"/>
                <w:color w:val="auto"/>
              </w:rPr>
            </w:pPr>
            <w:r>
              <w:rPr>
                <w:rFonts w:ascii="Arial" w:cs="Arial" w:eastAsia="Arial" w:hAnsi="Arial"/>
                <w:sz w:val="13"/>
                <w:szCs w:val="13"/>
                <w:b w:val="1"/>
                <w:bCs w:val="1"/>
                <w:color w:val="auto"/>
              </w:rPr>
              <w:t>NON-GAAP OPERATING INCOME - CORPORATE UNALLOCATED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60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Corporate unallocated - GAAP operating loss</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(76,155)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(65,593)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(69,226)</w:t>
            </w:r>
          </w:p>
        </w:tc>
      </w:tr>
      <w:tr>
        <w:trPr>
          <w:trHeight w:val="262"/>
        </w:trPr>
        <w:tc>
          <w:tcPr>
            <w:tcW w:w="6080" w:type="dxa"/>
            <w:vAlign w:val="bottom"/>
          </w:tcPr>
          <w:p>
            <w:pPr>
              <w:ind w:left="400"/>
              <w:spacing w:after="0"/>
              <w:rPr>
                <w:sz w:val="20"/>
                <w:szCs w:val="20"/>
                <w:color w:val="auto"/>
              </w:rPr>
            </w:pPr>
            <w:r>
              <w:rPr>
                <w:rFonts w:ascii="Arial" w:cs="Arial" w:eastAsia="Arial" w:hAnsi="Arial"/>
                <w:sz w:val="13"/>
                <w:szCs w:val="13"/>
                <w:color w:val="auto"/>
              </w:rPr>
              <w:t>Restructuring</w:t>
            </w:r>
          </w:p>
        </w:tc>
        <w:tc>
          <w:tcPr>
            <w:tcW w:w="1120" w:type="dxa"/>
            <w:vAlign w:val="bottom"/>
          </w:tcPr>
          <w:p>
            <w:pPr>
              <w:spacing w:after="0"/>
              <w:rPr>
                <w:sz w:val="22"/>
                <w:szCs w:val="22"/>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2,536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17,568</w:t>
            </w:r>
          </w:p>
        </w:tc>
      </w:tr>
      <w:tr>
        <w:trPr>
          <w:trHeight w:val="272"/>
        </w:trPr>
        <w:tc>
          <w:tcPr>
            <w:tcW w:w="60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Acquisition related expense</w:t>
            </w:r>
          </w:p>
        </w:tc>
        <w:tc>
          <w:tcPr>
            <w:tcW w:w="1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r>
      <w:tr>
        <w:trPr>
          <w:trHeight w:val="242"/>
        </w:trPr>
        <w:tc>
          <w:tcPr>
            <w:tcW w:w="6080" w:type="dxa"/>
            <w:vAlign w:val="bottom"/>
          </w:tcPr>
          <w:p>
            <w:pPr>
              <w:ind w:left="280"/>
              <w:spacing w:after="0"/>
              <w:rPr>
                <w:sz w:val="20"/>
                <w:szCs w:val="20"/>
                <w:color w:val="auto"/>
              </w:rPr>
            </w:pPr>
            <w:r>
              <w:rPr>
                <w:rFonts w:ascii="Arial" w:cs="Arial" w:eastAsia="Arial" w:hAnsi="Arial"/>
                <w:sz w:val="13"/>
                <w:szCs w:val="13"/>
                <w:color w:val="auto"/>
              </w:rPr>
              <w:t>Corporate unallocated - Non-GAAP operating loss</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(73,619)</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(66,081)</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(51,611)</w:t>
            </w:r>
          </w:p>
        </w:tc>
      </w:tr>
      <w:tr>
        <w:trPr>
          <w:trHeight w:val="20"/>
        </w:trPr>
        <w:tc>
          <w:tcPr>
            <w:tcW w:w="6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exposed to interest rate risk through our variable rate debt instruments. In May 2012, we entered into six forward starting pay-fixed receive one-month LIBOR interest rate swaps. The interest rate swaps convert $200 million of our LIBOR based debt from a floating LIBOR interest rate to a fixed interest rate of 1.00% (excluding the applicable margin on the debt) and were effective from July 31, 2013 to August 8, 2016.</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December 31, 2016, our LIBOR-based debt balance was $248.1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11"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December 31, 2016. Weighted average variable rates in the table are based on implied forward rates in the Reuters U.S. dollar yield curve as of December 31, 2016 and our estimated leverage ratio, which determines our additional interest rate margin at December 31, 2016.</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8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3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6"/>
                <w:szCs w:val="16"/>
                <w:i w:val="1"/>
                <w:iCs w:val="1"/>
                <w:color w:val="auto"/>
              </w:rPr>
              <w:t>Variable Rate Debt</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
        </w:trPr>
        <w:tc>
          <w:tcPr>
            <w:tcW w:w="3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34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Principal: U.S. dollar term loan</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14,063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19,688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22,500</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151,874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205,676</w:t>
            </w:r>
          </w:p>
        </w:tc>
      </w:tr>
      <w:tr>
        <w:trPr>
          <w:trHeight w:val="237"/>
        </w:trPr>
        <w:tc>
          <w:tcPr>
            <w:tcW w:w="3420" w:type="dxa"/>
            <w:vAlign w:val="bottom"/>
          </w:tcPr>
          <w:p>
            <w:pPr>
              <w:ind w:left="840"/>
              <w:spacing w:after="0"/>
              <w:rPr>
                <w:sz w:val="20"/>
                <w:szCs w:val="20"/>
                <w:color w:val="auto"/>
              </w:rPr>
            </w:pPr>
            <w:r>
              <w:rPr>
                <w:rFonts w:ascii="Arial" w:cs="Arial" w:eastAsia="Arial" w:hAnsi="Arial"/>
                <w:sz w:val="16"/>
                <w:szCs w:val="16"/>
                <w:color w:val="auto"/>
              </w:rPr>
              <w:t>Average interest rate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2.21 %</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w:t>
            </w:r>
          </w:p>
        </w:tc>
        <w:tc>
          <w:tcPr>
            <w:tcW w:w="300" w:type="dxa"/>
            <w:vAlign w:val="bottom"/>
          </w:tcPr>
          <w:p>
            <w:pPr>
              <w:spacing w:after="0"/>
              <w:rPr>
                <w:sz w:val="20"/>
                <w:szCs w:val="20"/>
                <w:color w:val="auto"/>
              </w:rPr>
            </w:pPr>
          </w:p>
        </w:tc>
        <w:tc>
          <w:tcPr>
            <w:tcW w:w="860" w:type="dxa"/>
            <w:vAlign w:val="bottom"/>
          </w:tcPr>
          <w:p>
            <w:pPr>
              <w:ind w:left="4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0"/>
        </w:trPr>
        <w:tc>
          <w:tcPr>
            <w:tcW w:w="3420" w:type="dxa"/>
            <w:vAlign w:val="bottom"/>
          </w:tcPr>
          <w:p>
            <w:pPr>
              <w:ind w:left="840"/>
              <w:spacing w:after="0"/>
              <w:rPr>
                <w:sz w:val="20"/>
                <w:szCs w:val="20"/>
                <w:color w:val="auto"/>
              </w:rPr>
            </w:pPr>
            <w:r>
              <w:rPr>
                <w:rFonts w:ascii="Arial" w:cs="Arial" w:eastAsia="Arial" w:hAnsi="Arial"/>
                <w:sz w:val="16"/>
                <w:szCs w:val="16"/>
                <w:color w:val="auto"/>
                <w:w w:val="97"/>
              </w:rPr>
              <w:t>Principal: Multicurrency revolving line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3420" w:type="dxa"/>
            <w:vAlign w:val="bottom"/>
          </w:tcPr>
          <w:p>
            <w:pPr>
              <w:ind w:left="840"/>
              <w:spacing w:after="0"/>
              <w:rPr>
                <w:sz w:val="20"/>
                <w:szCs w:val="20"/>
                <w:color w:val="auto"/>
              </w:rPr>
            </w:pPr>
            <w:r>
              <w:rPr>
                <w:rFonts w:ascii="Arial" w:cs="Arial" w:eastAsia="Arial" w:hAnsi="Arial"/>
                <w:sz w:val="16"/>
                <w:szCs w:val="16"/>
                <w:color w:val="auto"/>
              </w:rPr>
              <w:t>of credit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97,167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ind w:left="4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97,167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95,906</w:t>
            </w:r>
          </w:p>
        </w:tc>
      </w:tr>
      <w:tr>
        <w:trPr>
          <w:trHeight w:val="33"/>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Average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70"/>
        </w:trPr>
        <w:tc>
          <w:tcPr>
            <w:tcW w:w="3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3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i w:val="1"/>
                <w:iCs w:val="1"/>
                <w:color w:val="auto"/>
              </w:rPr>
              <w:t>Interest rate swap on LIBOR based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ind w:left="840"/>
              <w:spacing w:after="0"/>
              <w:rPr>
                <w:sz w:val="20"/>
                <w:szCs w:val="20"/>
                <w:color w:val="auto"/>
              </w:rPr>
            </w:pPr>
            <w:r>
              <w:rPr>
                <w:rFonts w:ascii="Arial" w:cs="Arial" w:eastAsia="Arial" w:hAnsi="Arial"/>
                <w:sz w:val="16"/>
                <w:szCs w:val="16"/>
                <w:color w:val="auto"/>
              </w:rPr>
              <w:t>Average interest rate (pay)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1.42 %</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1.42%</w:t>
            </w:r>
          </w:p>
        </w:tc>
        <w:tc>
          <w:tcPr>
            <w:tcW w:w="300" w:type="dxa"/>
            <w:vAlign w:val="bottom"/>
          </w:tcPr>
          <w:p>
            <w:pPr>
              <w:spacing w:after="0"/>
              <w:rPr>
                <w:sz w:val="20"/>
                <w:szCs w:val="20"/>
                <w:color w:val="auto"/>
              </w:rPr>
            </w:pPr>
          </w:p>
        </w:tc>
        <w:tc>
          <w:tcPr>
            <w:tcW w:w="860" w:type="dxa"/>
            <w:vAlign w:val="bottom"/>
          </w:tcPr>
          <w:p>
            <w:pPr>
              <w:ind w:left="4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Average interest rate (receive)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0.96 %</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tcPr>
          <w:p>
            <w:pPr>
              <w:ind w:left="840"/>
              <w:spacing w:after="0"/>
              <w:rPr>
                <w:sz w:val="20"/>
                <w:szCs w:val="20"/>
                <w:color w:val="auto"/>
              </w:rPr>
            </w:pPr>
            <w:r>
              <w:rPr>
                <w:rFonts w:ascii="Arial" w:cs="Arial" w:eastAsia="Arial" w:hAnsi="Arial"/>
                <w:sz w:val="16"/>
                <w:szCs w:val="16"/>
                <w:color w:val="auto"/>
              </w:rPr>
              <w:t>Net/spread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(0.46)%</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0.13%</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0.56%</w:t>
            </w: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0.72%</w:t>
            </w:r>
          </w:p>
        </w:tc>
        <w:tc>
          <w:tcPr>
            <w:tcW w:w="300" w:type="dxa"/>
            <w:vAlign w:val="bottom"/>
          </w:tcPr>
          <w:p>
            <w:pPr>
              <w:spacing w:after="0"/>
              <w:rPr>
                <w:sz w:val="20"/>
                <w:szCs w:val="20"/>
                <w:color w:val="auto"/>
              </w:rPr>
            </w:pPr>
          </w:p>
        </w:tc>
        <w:tc>
          <w:tcPr>
            <w:tcW w:w="860" w:type="dxa"/>
            <w:vAlign w:val="bottom"/>
          </w:tcPr>
          <w:p>
            <w:pPr>
              <w:ind w:left="4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2016, we estimate that, if market interest rates average one percentage point higher in 2017 than in the table above, our financial results in 2017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47% of total revenues for the year ended December 31, 2016, compared with 51% and 58% for the years ended December 31, 2015 and 2014.</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December 31, 2016, a total of 49 contracts were offsetting our exposures from the euro, Canadian dollar, Indonesian Rupiah, South African rand, Indian Rupee, Chinese Yuan, and various other currencies, with notional amounts ranging from $120,000 to $42.3 million. Based on a sensitivity analysis as of December 31, 2016, we estimate that, if foreign currency exchange rates average ten percentage points higher in 2017 for these financial instruments, our financial results in 2017 would not be materially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43" w:name="page44"/>
    <w:bookmarkEnd w:id="43"/>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results of operations, financial position, and cash flows in conformity with U.S. generally accepted accounting principles (GAAP). Management has included in our financial statements amounts based on estimates and judgments that it believes are reasonable under the circumstances.</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Audit/Finance Committee composed of independent directors. The Audit/Finance Committee meets regularly with financial management and Deloitte &amp; Touche LLP to review internal control, auditing, and financial reporting matters.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Philip C. Mezey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4400"/>
        <w:spacing w:after="0"/>
        <w:rPr>
          <w:sz w:val="20"/>
          <w:szCs w:val="20"/>
          <w:color w:val="auto"/>
        </w:rPr>
      </w:pPr>
      <w:r>
        <w:rPr>
          <w:rFonts w:ascii="Arial" w:cs="Arial" w:eastAsia="Arial" w:hAnsi="Arial"/>
          <w:sz w:val="16"/>
          <w:szCs w:val="16"/>
          <w:color w:val="auto"/>
        </w:rPr>
        <w:t>W. Mark Schmitz</w:t>
      </w:r>
    </w:p>
    <w:p>
      <w:pPr>
        <w:spacing w:after="0" w:line="86"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200" w:lineRule="exact"/>
        <w:rPr>
          <w:sz w:val="20"/>
          <w:szCs w:val="20"/>
          <w:color w:val="auto"/>
        </w:rPr>
      </w:pPr>
    </w:p>
    <w:p>
      <w:pPr>
        <w:sectPr>
          <w:pgSz w:w="11900" w:h="16838" w:orient="portrait"/>
          <w:cols w:equalWidth="0" w:num="2">
            <w:col w:w="5020" w:space="720"/>
            <w:col w:w="5680"/>
          </w:cols>
          <w:pgMar w:left="240" w:top="364" w:right="239" w:bottom="1440" w:gutter="0" w:footer="0" w:header="0"/>
          <w:type w:val="continuous"/>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364"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 of Itron, Inc. and subsidiaries (the “Company”) as of December 31, 2016, and the related consolidated statements of operations, comprehensive income (loss), equity, and cash flows for the year then ended. Our audit also included the 2016 financial statement schedule listed in the Index at Item 15. These financial statements and financial statement schedule are the responsibility of the Company's management. Our responsibility is to express an opinion on these financial statements and financial statement schedule based on our audit.</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Itron, Inc. and subsidiaries as of December 31, 2016 and the results of their operations and their cash flows for the year then ended, in conformity with accounting principles generally accepted in the United States of America. Also, in our opinion, the 2016 financial statement schedule, when considered in relation to the basic consolidated financial statements taken as a whole, presents fairly, in all material respects, the information set forth therein.</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2016,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2017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4"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Report of Ernst &amp; Young LLP, Independent Registered Public Accounting Firm</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Itron, Inc. as of December 31, 2015, and the related consolidated statements of operations, comprehensive income (loss), equity and cash flows for each of the two years in the period ended December 31,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Itron, Inc. at December 31, 2015, and the consolidated results of its operations and its cash flows for each of the two years in the period ended December 31,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2016</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64"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540" w:type="dxa"/>
            <w:vAlign w:val="bottom"/>
            <w:gridSpan w:val="6"/>
          </w:tcPr>
          <w:p>
            <w:pPr>
              <w:jc w:val="center"/>
              <w:ind w:right="41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7"/>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2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1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2,013,186</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1,883,533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1,947,616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1,352,866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1,326,848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1,333,566</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660,320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556,685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614,050</w:t>
            </w:r>
          </w:p>
        </w:tc>
      </w:tr>
      <w:tr>
        <w:trPr>
          <w:trHeight w:val="230"/>
        </w:trPr>
        <w:tc>
          <w:tcPr>
            <w:tcW w:w="6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158,883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161,380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182,503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175,500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162,815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155,715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162,466</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43,619</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49,090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49,482</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564,109</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503,839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613,570</w:t>
            </w:r>
          </w:p>
        </w:tc>
      </w:tr>
      <w:tr>
        <w:trPr>
          <w:trHeight w:val="223"/>
        </w:trPr>
        <w:tc>
          <w:tcPr>
            <w:tcW w:w="60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(7,637)</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(18,745)</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84,627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37,102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(18,265)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(22,300)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r>
      <w:tr>
        <w:trPr>
          <w:trHeight w:val="297"/>
        </w:trPr>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Itron, Inc.</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31,770</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12,678</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(23,670)</w:t>
            </w:r>
          </w:p>
        </w:tc>
      </w:tr>
      <w:tr>
        <w:trPr>
          <w:trHeight w:val="284"/>
        </w:trPr>
        <w:tc>
          <w:tcPr>
            <w:tcW w:w="60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(loss) per common share - 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0.83</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56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38,224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39,184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38,506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39,184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35,053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w:t>
            </w:r>
          </w:p>
        </w:tc>
      </w:tr>
      <w:tr>
        <w:trPr>
          <w:trHeight w:val="297"/>
        </w:trPr>
        <w:tc>
          <w:tcPr>
            <w:tcW w:w="6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(24,977)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(72,929)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(89,297)</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Net unrealized gain (loss) on derivative instruments, designated as cash flow</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(24,947)</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(28,720)</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(113,756)</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(136,056)</w:t>
            </w:r>
          </w:p>
        </w:tc>
      </w:tr>
      <w:tr>
        <w:trPr>
          <w:trHeight w:val="291"/>
        </w:trPr>
        <w:tc>
          <w:tcPr>
            <w:tcW w:w="60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Comprehensive income (loss) attributable to noncontrolling interest, net of tax:</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w:t>
            </w:r>
          </w:p>
        </w:tc>
      </w:tr>
      <w:tr>
        <w:trPr>
          <w:trHeight w:val="297"/>
        </w:trPr>
        <w:tc>
          <w:tcPr>
            <w:tcW w:w="606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Itron, Inc.</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(137,426)</w:t>
            </w: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65"/>
        </w:trPr>
        <w:tc>
          <w:tcPr>
            <w:tcW w:w="9720" w:type="dxa"/>
            <w:vAlign w:val="bottom"/>
            <w:gridSpan w:val="8"/>
          </w:tcPr>
          <w:p>
            <w:pPr>
              <w:ind w:left="25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9"/>
        </w:trPr>
        <w:tc>
          <w:tcPr>
            <w:tcW w:w="6060" w:type="dxa"/>
            <w:vAlign w:val="bottom"/>
          </w:tcPr>
          <w:p>
            <w:pPr>
              <w:ind w:left="5620"/>
              <w:spacing w:after="0"/>
              <w:rPr>
                <w:sz w:val="20"/>
                <w:szCs w:val="20"/>
                <w:color w:val="auto"/>
              </w:rPr>
            </w:pPr>
            <w:r>
              <w:rPr>
                <w:rFonts w:ascii="Arial" w:cs="Arial" w:eastAsia="Arial" w:hAnsi="Arial"/>
                <w:sz w:val="18"/>
                <w:szCs w:val="18"/>
                <w:color w:val="auto"/>
              </w:rPr>
              <w:t>46</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2016</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674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131,018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351,506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330,895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190,465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84,346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106,562</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732,466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758,940</w:t>
            </w:r>
          </w:p>
        </w:tc>
      </w:tr>
      <w:tr>
        <w:trPr>
          <w:trHeight w:val="28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190,256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94,113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109,387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72,151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101,932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468,122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1,577,811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1,680,316</w:t>
            </w:r>
          </w:p>
        </w:tc>
      </w:tr>
      <w:tr>
        <w:trPr>
          <w:trHeight w:val="67"/>
        </w:trPr>
        <w:tc>
          <w:tcPr>
            <w:tcW w:w="6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264"/>
        </w:trPr>
        <w:tc>
          <w:tcPr>
            <w:tcW w:w="6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r>
      <w:tr>
        <w:trPr>
          <w:trHeight w:val="243"/>
        </w:trPr>
        <w:tc>
          <w:tcPr>
            <w:tcW w:w="6740" w:type="dxa"/>
            <w:vAlign w:val="bottom"/>
          </w:tcPr>
          <w:p>
            <w:pPr>
              <w:ind w:left="22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172,711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185,827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78,630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82,346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76,980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14,063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11,250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36,927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64,976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73,301</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477,774</w:t>
            </w:r>
          </w:p>
        </w:tc>
      </w:tr>
      <w:tr>
        <w:trPr>
          <w:trHeight w:val="28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358,915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17,585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3,073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115,645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927,458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1,057,613</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2"/>
              </w:rPr>
              <w:t>Common stock, no par value, 75 million shares authorized, 38,317 and 37,906 shares</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issued and outstanding</w:t>
            </w:r>
          </w:p>
        </w:tc>
        <w:tc>
          <w:tcPr>
            <w:tcW w:w="280" w:type="dxa"/>
            <w:vAlign w:val="bottom"/>
          </w:tcPr>
          <w:p>
            <w:pPr>
              <w:spacing w:after="0"/>
              <w:rPr>
                <w:sz w:val="20"/>
                <w:szCs w:val="20"/>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1,270,467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1,246,671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(200,607)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(409,536)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(441,306)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Itron, Inc.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604,758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18,749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17,945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622,703</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1,577,811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1,680,316</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364" w:right="239" w:bottom="1440" w:gutter="0" w:footer="0" w:header="0"/>
          <w:type w:val="continuous"/>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gridSpan w:val="3"/>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4"/>
                <w:szCs w:val="4"/>
                <w:color w:val="auto"/>
              </w:rPr>
            </w:pPr>
          </w:p>
        </w:tc>
        <w:tc>
          <w:tcPr>
            <w:tcW w:w="118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4"/>
                <w:szCs w:val="4"/>
                <w:color w:val="auto"/>
              </w:rPr>
            </w:pPr>
          </w:p>
        </w:tc>
        <w:tc>
          <w:tcPr>
            <w:tcW w:w="124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740" w:type="dxa"/>
            <w:vAlign w:val="bottom"/>
          </w:tcPr>
          <w:p>
            <w:pPr>
              <w:spacing w:after="0"/>
              <w:rPr>
                <w:sz w:val="5"/>
                <w:szCs w:val="5"/>
                <w:color w:val="auto"/>
              </w:rPr>
            </w:pP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50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740" w:type="dxa"/>
            <w:vAlign w:val="bottom"/>
          </w:tcPr>
          <w:p>
            <w:pPr>
              <w:ind w:left="40"/>
              <w:spacing w:after="0"/>
              <w:rPr>
                <w:sz w:val="20"/>
                <w:szCs w:val="20"/>
                <w:color w:val="auto"/>
              </w:rPr>
            </w:pPr>
            <w:r>
              <w:rPr>
                <w:rFonts w:ascii="Arial" w:cs="Arial" w:eastAsia="Arial" w:hAnsi="Arial"/>
                <w:sz w:val="14"/>
                <w:szCs w:val="14"/>
                <w:color w:val="auto"/>
              </w:rPr>
              <w:t>Balances at January 1, 2014</w:t>
            </w:r>
          </w:p>
        </w:tc>
        <w:tc>
          <w:tcPr>
            <w:tcW w:w="8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39,149</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1,290,629</w:t>
            </w:r>
          </w:p>
        </w:tc>
        <w:tc>
          <w:tcPr>
            <w:tcW w:w="120" w:type="dxa"/>
            <w:vAlign w:val="bottom"/>
          </w:tcPr>
          <w:p>
            <w:pPr>
              <w:spacing w:after="0"/>
              <w:rPr>
                <w:sz w:val="15"/>
                <w:szCs w:val="15"/>
                <w:color w:val="auto"/>
              </w:rPr>
            </w:pPr>
          </w:p>
        </w:tc>
        <w:tc>
          <w:tcPr>
            <w:tcW w:w="4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(21,304)</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(430,314)</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839,011</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17,735</w:t>
            </w:r>
          </w:p>
        </w:tc>
        <w:tc>
          <w:tcPr>
            <w:tcW w:w="10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856,746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(22,300)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(113,756)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(113,756)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(113,756)</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2,247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16,924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16,924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16,924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rPr>
              <w:t>Employee stock plans income tax</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(39,665)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(39,665)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(39,665)</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40"/>
              <w:spacing w:after="0"/>
              <w:rPr>
                <w:sz w:val="20"/>
                <w:szCs w:val="20"/>
                <w:color w:val="auto"/>
              </w:rPr>
            </w:pPr>
            <w:r>
              <w:rPr>
                <w:rFonts w:ascii="Arial" w:cs="Arial" w:eastAsia="Arial" w:hAnsi="Arial"/>
                <w:sz w:val="14"/>
                <w:szCs w:val="14"/>
                <w:color w:val="auto"/>
              </w:rPr>
              <w:t>Balances at December 31, 2014</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38,591</w:t>
            </w:r>
          </w:p>
        </w:tc>
        <w:tc>
          <w:tcPr>
            <w:tcW w:w="120" w:type="dxa"/>
            <w:vAlign w:val="bottom"/>
          </w:tcPr>
          <w:p>
            <w:pPr>
              <w:spacing w:after="0"/>
              <w:rPr>
                <w:sz w:val="14"/>
                <w:szCs w:val="14"/>
                <w:color w:val="auto"/>
              </w:rPr>
            </w:pP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1,270,045</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(135,060)</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(453,984)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681,001</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17,541</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698,542</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12,678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12,678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2,325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15,003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w w:val="96"/>
              </w:rPr>
              <w:t>Issuance of stock-based compensation</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13,384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13,384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13,384</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Employee stock plans income tax</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deficiencies</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Repurchase of common stock</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(38,283)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(38,283)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(38,283)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2015</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37,906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1,246,671</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(200,607)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(441,306)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604,758</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17,945</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622,703</w:t>
            </w:r>
          </w:p>
        </w:tc>
        <w:tc>
          <w:tcPr>
            <w:tcW w:w="0" w:type="dxa"/>
            <w:vAlign w:val="bottom"/>
          </w:tcPr>
          <w:p>
            <w:pPr>
              <w:spacing w:after="0"/>
              <w:rPr>
                <w:sz w:val="1"/>
                <w:szCs w:val="1"/>
                <w:color w:val="auto"/>
              </w:rPr>
            </w:pPr>
          </w:p>
        </w:tc>
      </w:tr>
      <w:tr>
        <w:trPr>
          <w:trHeight w:val="79"/>
        </w:trPr>
        <w:tc>
          <w:tcPr>
            <w:tcW w:w="2740" w:type="dxa"/>
            <w:vAlign w:val="bottom"/>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vMerge w:val="continue"/>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vMerge w:val="continue"/>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vMerge w:val="continue"/>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35,053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w w:val="93"/>
              </w:rPr>
              <w:t>Other comprehensive income (loss), net of tax</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(28,720)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(28,720)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(28,720)</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interests</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Stock issues and repurchases:</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Options exercised</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2,144</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Restricted stock awards released</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6"/>
              </w:rPr>
              <w:t>Issuance of stock-based compensation</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awards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91"/>
        </w:trPr>
        <w:tc>
          <w:tcPr>
            <w:tcW w:w="2740" w:type="dxa"/>
            <w:vAlign w:val="bottom"/>
          </w:tcPr>
          <w:p>
            <w:pPr>
              <w:ind w:left="380"/>
              <w:spacing w:after="0"/>
              <w:rPr>
                <w:sz w:val="20"/>
                <w:szCs w:val="20"/>
                <w:color w:val="auto"/>
              </w:rPr>
            </w:pPr>
            <w:r>
              <w:rPr>
                <w:rFonts w:ascii="Arial" w:cs="Arial" w:eastAsia="Arial" w:hAnsi="Arial"/>
                <w:sz w:val="14"/>
                <w:szCs w:val="14"/>
                <w:color w:val="auto"/>
              </w:rPr>
              <w:t>Employee stock purchase plan</w:t>
            </w: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 expense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17,080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17,080</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740" w:type="dxa"/>
            <w:vAlign w:val="bottom"/>
          </w:tcPr>
          <w:p>
            <w:pPr>
              <w:ind w:left="380"/>
              <w:spacing w:after="0" w:line="157" w:lineRule="exact"/>
              <w:rPr>
                <w:sz w:val="20"/>
                <w:szCs w:val="20"/>
                <w:color w:val="auto"/>
              </w:rPr>
            </w:pPr>
            <w:r>
              <w:rPr>
                <w:rFonts w:ascii="Arial" w:cs="Arial" w:eastAsia="Arial" w:hAnsi="Arial"/>
                <w:sz w:val="14"/>
                <w:szCs w:val="14"/>
                <w:color w:val="auto"/>
              </w:rPr>
              <w:t>Excess tax benefits from employee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7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stock plans</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2,870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7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Balances at December 31, 2016</w:t>
            </w: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38,317</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1,270,467</w:t>
            </w:r>
          </w:p>
        </w:tc>
        <w:tc>
          <w:tcPr>
            <w:tcW w:w="1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(229,327)</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(409,536)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631,604</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18,749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650,353</w:t>
            </w:r>
          </w:p>
        </w:tc>
        <w:tc>
          <w:tcPr>
            <w:tcW w:w="0" w:type="dxa"/>
            <w:vAlign w:val="bottom"/>
          </w:tcPr>
          <w:p>
            <w:pPr>
              <w:spacing w:after="0"/>
              <w:rPr>
                <w:sz w:val="1"/>
                <w:szCs w:val="1"/>
                <w:color w:val="auto"/>
              </w:rPr>
            </w:pPr>
          </w:p>
        </w:tc>
      </w:tr>
      <w:tr>
        <w:trPr>
          <w:trHeight w:val="60"/>
        </w:trPr>
        <w:tc>
          <w:tcPr>
            <w:tcW w:w="2740" w:type="dxa"/>
            <w:vAlign w:val="bottom"/>
            <w:tcBorders>
              <w:bottom w:val="single" w:sz="8" w:color="CCEEFF"/>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6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35,053</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(22,300)</w:t>
            </w:r>
          </w:p>
        </w:tc>
      </w:tr>
      <w:tr>
        <w:trPr>
          <w:trHeight w:val="229"/>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Adjustments to reconcile net income (loss) to net cash provided by operating</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6060" w:type="dxa"/>
            <w:vAlign w:val="bottom"/>
          </w:tcPr>
          <w:p>
            <w:pPr>
              <w:ind w:left="380"/>
              <w:spacing w:after="0"/>
              <w:rPr>
                <w:sz w:val="20"/>
                <w:szCs w:val="20"/>
                <w:color w:val="auto"/>
              </w:rPr>
            </w:pPr>
            <w:r>
              <w:rPr>
                <w:rFonts w:ascii="Arial" w:cs="Arial" w:eastAsia="Arial" w:hAnsi="Arial"/>
                <w:sz w:val="18"/>
                <w:szCs w:val="18"/>
                <w:color w:val="auto"/>
              </w:rPr>
              <w:t>activities: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68,318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98,139</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14,089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17,860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13,790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(34,757)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5,172</w:t>
            </w: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(27,162)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(15,119)</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12,512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(10,947)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56,158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7,502</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(25,810)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11,943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30,584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10,784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115,842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132,973</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(43,543)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(43,918)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(44,495)</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2,999</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(41,496)</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113,467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47,657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(102,438)</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3,647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(39,665)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(1,078)</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(91,877)</w:t>
            </w:r>
          </w:p>
        </w:tc>
      </w:tr>
      <w:tr>
        <w:trPr>
          <w:trHeight w:val="270"/>
        </w:trPr>
        <w:tc>
          <w:tcPr>
            <w:tcW w:w="6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18,647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(12,434)</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131,018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112,371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124,805</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133,565</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131,018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112,371</w:t>
            </w:r>
          </w:p>
        </w:tc>
      </w:tr>
      <w:tr>
        <w:trPr>
          <w:trHeight w:val="257"/>
        </w:trPr>
        <w:tc>
          <w:tcPr>
            <w:tcW w:w="60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24,287</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29,189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18,222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10,198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9,912</w:t>
            </w:r>
          </w:p>
        </w:tc>
      </w:tr>
      <w:tr>
        <w:trPr>
          <w:trHeight w:val="27"/>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64" w:right="23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solutions to utilities for the electricity, gas,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Comprehensive Income (Loss), Equity, and Cash Flows for the years ended December 31, 2016, 2015, and 2014 and the Consolidated Balance Sheets as of December 31, 2016 and 2015 of Itron, Inc. and its subsidiaries.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Intercompany transactions and balances are eliminated upon consolidation.</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Receivable,net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recognized on the Consolidated Balance Sheets at fair value as either assets or liabilities. The components and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7"/>
          <w:szCs w:val="17"/>
          <w:color w:val="auto"/>
        </w:rPr>
        <w:t>in the fair value of the derivative are recognized as a component of other comprehensive income (loss) (OCI) and are recognized in earnings when the hedged item affects earnings. Ineffective portions of cash flow hedges are recognized in other income (expense) in the Consolidated Statements of Operations.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 worthy multinational commercial banks, with whom we have master netting agreements; however, our derivative positions are not recognized on a net basis in the Consolidated Balance Sheets. There are no credit-risk-related contingent features within our derivative instruments. Refer to Note 7 and Note 14 for further disclosures of our derivative instruments and their impact on OCI.</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lives of the assets, generally 30 years for buildings and improvements and three to ten years for machinery and equipment, computers and software, and furniture. Leasehold improvements are capitalized and depreciated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 of Operations according to the use of the asset, except those gains and losses recognized in conjunction with our restructuring activities, which are classified within restructuring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recognized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straight-line method when associated with a revolving credit facility. When debt is repaid early, the related portion of unamortized prepaid debt fees is written off and included in interest expense.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recorded value of the associated IPR&amp;D is immediately recognized.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Restructuring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8" w:right="239" w:bottom="1440" w:gutter="0" w:footer="0" w:header="0"/>
        </w:sectPr>
      </w:pPr>
    </w:p>
    <w:bookmarkStart w:id="53" w:name="page54"/>
    <w:bookmarkEnd w:id="53"/>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seven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at the time when their useful lives are determined to be no longer indefinite.</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two-step impairment test. The impairment test involves comparing the fair values of the reporting units to their carrying amounts. If the carrying amount of a reporting unit exceeds its fair value, a second step is required to measure the goodwill impairment loss amount. This second step determines the current fair values of all assets and liabilities of the reporting unit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financial and nonfinancial targets. If management determines it is probable that the targets will be achieved, and the amounts can be reasonably estimated, a compensation accrual is recognized based on the proportional achievement of the financial and nonfinancial targets. Although we monitor and accrue expenses quarterly based on our progress toward the achievement of the targets, the actual results may result in awards that are significantly greater or less than the estimates made in earlier quarters.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68" w:right="239" w:bottom="1440"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6"/>
          <w:szCs w:val="16"/>
          <w:color w:val="auto"/>
        </w:rPr>
        <w:t>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revenue arrangements involve multiple deliverables, which combine two or more of the following: hardware, meter reading system software, installation, and/or project management services. Separate contracts entered into with the same customer that meet certain criteria such as those that are entered into at or near the same time are evaluated as one single arrangement for purposes of applying multiple element arrangement revenue recognition. Revenue arrangements with multiple deliverables are divided into separate units of accounting at the inception of the arrangement and as each item in the arrangement is delivered.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are then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for implementation services, 4) upon receipt of customer acceptance, or 5) transfer of title and risk of loss. The majority of our revenue is recognized when products are shipped to or received by a customer or when services are provided.</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revenues are generally recognized at the time of shipment, receipt by the customer, or, if applicable, upon completion of customer acceptance provisions.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68" w:right="239" w:bottom="1440" w:gutter="0" w:footer="0" w:header="0"/>
        </w:sectPr>
      </w:pPr>
    </w:p>
    <w:bookmarkStart w:id="55" w:name="page56"/>
    <w:bookmarkEnd w:id="55"/>
    <w:p>
      <w:pPr>
        <w:jc w:val="both"/>
        <w:spacing w:after="0" w:line="279" w:lineRule="auto"/>
        <w:rPr>
          <w:sz w:val="20"/>
          <w:szCs w:val="20"/>
          <w:color w:val="auto"/>
        </w:rPr>
      </w:pPr>
      <w:r>
        <w:rPr>
          <w:rFonts w:ascii="Arial" w:cs="Arial" w:eastAsia="Arial" w:hAnsi="Arial"/>
          <w:sz w:val="17"/>
          <w:szCs w:val="17"/>
          <w:color w:val="auto"/>
        </w:rPr>
        <w:t>Under contract accounting where revenue is recognized using percentage of completion, the cost to cost method is used to measure progress to completion. Revenue from certain OpenWay network software and services arrangements is recognized using the units-of-delivery method of contract accounting, as network design services and network software are essential to the functionality of the related hardware (network). This methodology results in the deferral of costs and revenues as professional services and software implementation commence prior to deployment of hardware.</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 orders and contract modifications entered into after inception of the original contract are analyzed to determine if change orders or modifications are extensions of an existing agreement or are accounted for as a separate arrangement for purposes of applying contract accounting.</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our customer arrangements contain clauses for liquidated damages, related to the timing of delivery or milestone accomplishments, which could become material in an event of failure to meet the contractual deadlines. At the inception of the arrangement and on an ongoing basis, we evaluate if the liquidated damages represent contingent revenue and, if so, we reduce the amount of consideration allocated to the delivered products and services and recognize it as a reduction in revenue in the period of default. If the arrangement is subject to contract accounting, liquidated damages resulting from anticipated events of default are estimated and are accounted for as a reduction of revenue in the period in which the liquidated damages are deemed probable of occurrence and are reasonably estimable.</w:t>
      </w:r>
    </w:p>
    <w:p>
      <w:pPr>
        <w:spacing w:after="0" w:line="1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software customers often purchase a combination of software, service, and post contract customer support. For these types of arrangement, revenue recognition is dependent upon the availability of vendor specific objective evidence (VSOE) of fair value for any undelivered element. We determine VSOE by reference to the range of comparable standalone sales or stated renewals. We review these standalone sales or renewals on at least an annual basis. If VSOE is established for all undelivered elements in the contract, revenue is recognized for delivered elements when all other revenue recognition criteria are met. Arrangements in which VSOE for all undelivered elements is not established, we recognize revenue under the combined services approach where revenue for software and software related elements is deferred until all software products have been delivered, all software related services have commenced, and undelivered services do not include significant production, customization or modification. Revenue would be recognized over the longest period that services would be provided.</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Cloud services and software as a service (“SaaS”) arrangements where customers have access to certain of our software within a cloud-based IT environment that we manage, host and support are offered to customers on a subscription basis. Revenue for the cloud services and SaaS offerings are generally recognized ratably over the contact term commencing with the date the services is made available to customers and all other revenue recognition criteria have been satisfied. For arrangements where cloud services and SaaS is provided on a per meter basis, revenue is recognized based on actual meters read during the period.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that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historical sales, the cost to produce the deliverable, the anticipated margin on that deliverable, our ongoing pricing strategy and policies, and the characteristics of the varying markets in which the deliverable is sold.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68" w:right="239" w:bottom="1440" w:gutter="0" w:footer="0" w:header="0"/>
        </w:sectPr>
      </w:pPr>
    </w:p>
    <w:bookmarkStart w:id="56" w:name="page57"/>
    <w:bookmarkEnd w:id="56"/>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recognized when a customer pays for products or services, but the criteria for revenue recognition have not been met as of the balance sheet date. Unearned revenue of $114.3 million and $139.5 million at December 31, 2016 and 2015 related primarily to professional services and software associated with our smart metering contracts, extended or noncustomary warranty, and prepaid post-contract support. Deferred costs are recognized for products or services for which ownership (typically defined as title and risk of loss) has transferred to the customer, but the criteria for revenue recognition have not been met as of the balance sheet date. Deferred costs were $34.4 million and $56.6 million at December 31, 2016 and 2015 and are recognized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do not capitalize product development costs, and we do not generally capitalize software development expenses as the costs incurred are immaterial for the relatively short period of time between technological feasibility and the completion of software development.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market, and/or performance vesting conditions. We also grant phantom stock units, which are settled in cash upon vesting and accounted for as liability-based awards.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dividend yield, expected volatility, risk-free interest rate, and expected term.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performance and service conditions, if vesting is probable, we expense the stock-based compensation, adjusted for estimated forfeitures, on a straight-line basis over the requisite service period for each separately vesting portion of the award. For awards with a market condition, we expense the fair value over the requisite service period.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are eligible to participate in our Employee Stock Purchase Plan (ESPP). The discount provided for ESPP purchases is 5% from the fair market value of the stock at the end of each fiscal quarter and is not considered compensatory.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68" w:right="239" w:bottom="1440" w:gutter="0" w:footer="0" w:header="0"/>
        </w:sectPr>
      </w:pPr>
    </w:p>
    <w:bookmarkStart w:id="57" w:name="page58"/>
    <w:bookmarkEnd w:id="57"/>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$0.3 million, $3.0 million, and $5.1 million were included in other expenses, net, for the years ended December 31, 2016, 2015 and 2014, respectively.</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goodwill and intangible assets, defined benefit pension plans, contingencies, and stock-based compensation. Due to various factors affecting future costs and operations, actual results could differ materially from these estimates.</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w:t>
      </w:r>
      <w:r>
        <w:rPr>
          <w:rFonts w:ascii="Arial" w:cs="Arial" w:eastAsia="Arial" w:hAnsi="Arial"/>
          <w:sz w:val="17"/>
          <w:szCs w:val="17"/>
          <w:color w:val="auto"/>
        </w:rPr>
        <w:t>(ASU 2014-09), to supersede nearly all existing revenue recognition guidance under U.S. GAAP. The core principle of ASU 2014-09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7"/>
          <w:szCs w:val="17"/>
          <w:i w:val="1"/>
          <w:iCs w:val="1"/>
          <w:color w:val="auto"/>
        </w:rPr>
        <w:t>Revenue from Contracts with Customers: Deferral of the Effective</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which deferred the effective date for implementation of ASU 2014-09 by one year and is now effective for annual reporting periods beginning after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15, 2017, with early adoption permitted but not earlier than the original effective date. In March 2016, the FASB issued ASU 2016-08, </w:t>
      </w:r>
      <w:r>
        <w:rPr>
          <w:rFonts w:ascii="Arial" w:cs="Arial" w:eastAsia="Arial" w:hAnsi="Arial"/>
          <w:sz w:val="17"/>
          <w:szCs w:val="17"/>
          <w:i w:val="1"/>
          <w:iCs w:val="1"/>
          <w:color w:val="auto"/>
        </w:rPr>
        <w:t>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versus Agent Considerations (Reporting Revenue Gross versus Net) </w:t>
      </w:r>
      <w:r>
        <w:rPr>
          <w:rFonts w:ascii="Arial" w:cs="Arial" w:eastAsia="Arial" w:hAnsi="Arial"/>
          <w:sz w:val="17"/>
          <w:szCs w:val="17"/>
          <w:color w:val="auto"/>
        </w:rPr>
        <w:t>(ASU 2016-08), which clarifies the implementation guidance of principal versus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considerations. In April 2016, the FASB issued ASU 2016-10,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xml:space="preserve"> (ASU 2016-10), which clarifies the identification of performance obligations and licensing implementation guidance. In May 2016, the FASB issued ASU 2016-12, </w:t>
      </w:r>
      <w:r>
        <w:rPr>
          <w:rFonts w:ascii="Arial" w:cs="Arial" w:eastAsia="Arial" w:hAnsi="Arial"/>
          <w:sz w:val="17"/>
          <w:szCs w:val="17"/>
          <w:i w:val="1"/>
          <w:iCs w:val="1"/>
          <w:color w:val="auto"/>
        </w:rPr>
        <w:t>Narrow-Scope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Practical Expedients </w:t>
      </w:r>
      <w:r>
        <w:rPr>
          <w:rFonts w:ascii="Arial" w:cs="Arial" w:eastAsia="Arial" w:hAnsi="Arial"/>
          <w:sz w:val="17"/>
          <w:szCs w:val="17"/>
          <w:color w:val="auto"/>
        </w:rPr>
        <w:t>(ASU 2016-12), to improve guidance on assessing collectability, presentation of sales taxes, noncash consideration, and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and contract modifications at transition. The effective date and transition requirements in ASU 2016-08, ASU 2016-10, and ASU 2016-12 are the same as the effective date and transition requirements of ASU 2015-14.</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revenue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We currently anticipate adopting the standard effectively January 1, 2018 using the cumulative catch-up transition method, and therefore, will recognize the cumulative effect of initially applying the revenue standard as an adjustment to the opening balance of retained earnings in the period of initial application. We currently believe the most significant impact relates to our accounting for software license revenue, but are continuing to evaluate the effect that the updated standard will have on our consolidated results of operations, financial position, cash flows, and related financial statement disclosures.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Interest - Imputation of Interes</w:t>
      </w:r>
      <w:r>
        <w:rPr>
          <w:rFonts w:ascii="Arial" w:cs="Arial" w:eastAsia="Arial" w:hAnsi="Arial"/>
          <w:sz w:val="17"/>
          <w:szCs w:val="17"/>
          <w:color w:val="auto"/>
        </w:rPr>
        <w:t xml:space="preserve">t (ASU 2015-03). ASU 2015-03 requires that debt issuance costs related to a recognized debt liability be presented in the balance sheet as a direct deduction from the carrying amount of the corresponding debt liability. In August 2015, the FASB issued ASU 2015-15, </w:t>
      </w:r>
      <w:r>
        <w:rPr>
          <w:rFonts w:ascii="Arial" w:cs="Arial" w:eastAsia="Arial" w:hAnsi="Arial"/>
          <w:sz w:val="17"/>
          <w:szCs w:val="17"/>
          <w:i w:val="1"/>
          <w:iCs w:val="1"/>
          <w:color w:val="auto"/>
        </w:rPr>
        <w:t xml:space="preserve">Interest - Imputation of Interest: Presentation and Subsequent Measurement of Debt Issuance Costs Associated with Line-of-Credit Arrangements </w:t>
      </w:r>
      <w:r>
        <w:rPr>
          <w:rFonts w:ascii="Arial" w:cs="Arial" w:eastAsia="Arial" w:hAnsi="Arial"/>
          <w:sz w:val="17"/>
          <w:szCs w:val="17"/>
          <w:color w:val="auto"/>
        </w:rPr>
        <w:t>(ASU 2015-15). ASU 2015-15 provides additional guidance on the presentation and subsequent measurement of debt issuance costs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line-of-credit arrangements. ASU 2015-03 and ASU 2015-15 are effective for interim and annual periods beginning after December 15, 2015, with early adoption permitted, and is to be applied on a retrospective basis. We adopted this standard on January 1, 2016, and it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did not materially impact our consolidated results of operations, financial position, cash flows, and related financial statement disclosures.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April 2015, the FASB issued ASU 2015-05, </w:t>
      </w:r>
      <w:r>
        <w:rPr>
          <w:rFonts w:ascii="Arial" w:cs="Arial" w:eastAsia="Arial" w:hAnsi="Arial"/>
          <w:sz w:val="16"/>
          <w:szCs w:val="16"/>
          <w:i w:val="1"/>
          <w:iCs w:val="1"/>
          <w:color w:val="auto"/>
        </w:rPr>
        <w:t>Intangibles - Goodwill and Other - Internal-Use Software (Subtopic 350-40), Customer's Accounting for Fees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Paid in a Cloud Computing Arrangement </w:t>
      </w:r>
      <w:r>
        <w:rPr>
          <w:rFonts w:ascii="Arial" w:cs="Arial" w:eastAsia="Arial" w:hAnsi="Arial"/>
          <w:sz w:val="16"/>
          <w:szCs w:val="16"/>
          <w:color w:val="auto"/>
        </w:rPr>
        <w:t>(ASU 2015-05), which provides guidance about whether a cloud computing arrangement includes a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ASU 2015-05 is effective for us on January 1, 2016. We adopted this standard on January 1, 2016, and it did not materially impact our consolidated results of operations, financial position, cash flows, and related financial statement disclosures.</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 Simplifying the Measurement of Inventory</w:t>
      </w:r>
      <w:r>
        <w:rPr>
          <w:rFonts w:ascii="Arial" w:cs="Arial" w:eastAsia="Arial" w:hAnsi="Arial"/>
          <w:sz w:val="16"/>
          <w:szCs w:val="16"/>
          <w:color w:val="auto"/>
        </w:rPr>
        <w:t xml:space="preserve"> (ASU 2015-11). The amendments in ASU 2015-11 apply to inventory measured using first-in, first-out (FIFO) or average cost and will require entities to measure inventory at the lower of cost and net realizable value. Net realizable value is the ESP in the normal course of business, minus the cost of completion, disposal and transportation. Replacement cost and net realizable value less a normal profit margin will no longer be considered. We adopted this standard on January 1, 2017 and it did not materially impact our consolidated results of operations, financial position, cash flows, and related financial statement disclosures.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requires substantially all leases be recognized by lessees on their balance sheet as a right-of-use asset and corresponding lease liability, including leases currently accounted for as 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 (Topic 718)</w:t>
      </w:r>
      <w:r>
        <w:rPr>
          <w:rFonts w:ascii="Arial" w:cs="Arial" w:eastAsia="Arial" w:hAnsi="Arial"/>
          <w:sz w:val="18"/>
          <w:szCs w:val="18"/>
          <w:color w:val="auto"/>
        </w:rPr>
        <w:t xml:space="preserve"> (ASU 2016-09), which simplifies several areas within Topic 718. These include the income tax consequences, classification of awards as either equity or liabilities, and classification on the statement of cash flows. The amendment in this ASU becomes effective on a modified retrospective basis for accounting in tax benefits recognized, retrospectively for accounting related to the presentation of employee taxes paid, prospectively for accounting related to recognition of excess tax benefits, and either prospectively or retrospectively for accounting related to presentation of excess employee tax benefits for annual periods, and interim periods within those annual periods, beginning after December 15, 2016. We adopted this standard effective January 1, 2017 and the most significant impact relates to the recognition of excess tax benefits which resulted in an approximately $15 million one-time adjustment to retained earnings and deferred tax assets related to cumulative excess tax benefits previously unrecognized. This amendment was adopted on a prospective basis, which does not require the restatement of prior years.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narrows the definition of a business and provides a framework that gives entities a basis for making reasonable judgments about whether a transaction involves an asset or a business. ASU 2017-01 states that when substantially all of the fair value of the gross assets acquired (or disposed of) is concentrated in a single identifiable asset or group of similar identifiable assets, the set is not a business. If this initial test is not met, a set cannot be considered a business unless it includes an input and a substantive process that together significantly contribute to the ability to create output. ASU 2017-01 is effective for fiscal years beginning after December 15, 2019 with early adoption permitted. We adopted this standard on January 1, 2017 and it will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(ASU 2017-04), which simplifies the measurement of goodwill impairment by removing step two of the goodwill impairment test that requires the determination of the fair value of individual assets and liabilities of a reporting unit. ASU 2017-04 requires goodwill impairment to be measured as the amount by which a reporting unit’s carrying value exceeds its fair value; however, the loss recognized should not exceed the total amount of goodwill allocated to that reporting unit. ASU 2017-04 is effective for fiscal years beginning after December 15, 2019 with early adoption permitted for interim or annual goodwill impairment tests performed after January 1, 2017. We are currently assessing the impact of adoption on our consolidated results of operations, financial position, cash flows, and related financial statement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8" w:right="239" w:bottom="1440" w:gutter="0" w:footer="0" w:header="0"/>
        </w:sectPr>
      </w:pPr>
    </w:p>
    <w:bookmarkStart w:id="59" w:name="page60"/>
    <w:bookmarkEnd w:id="59"/>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center"/>
              <w:ind w:right="3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60" w:type="dxa"/>
            <w:vAlign w:val="bottom"/>
            <w:gridSpan w:val="6"/>
          </w:tcPr>
          <w:p>
            <w:pPr>
              <w:jc w:val="center"/>
              <w:ind w:left="39"/>
              <w:spacing w:after="0"/>
              <w:rPr>
                <w:sz w:val="20"/>
                <w:szCs w:val="20"/>
                <w:color w:val="auto"/>
              </w:rPr>
            </w:pPr>
            <w:r>
              <w:rPr>
                <w:rFonts w:ascii="Arial" w:cs="Arial" w:eastAsia="Arial" w:hAnsi="Arial"/>
                <w:sz w:val="16"/>
                <w:szCs w:val="16"/>
                <w:b w:val="1"/>
                <w:bCs w:val="1"/>
                <w:color w:val="auto"/>
                <w:w w:val="89"/>
              </w:rPr>
              <w:t>(in thousands, except per share data)</w:t>
            </w: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31,770</w:t>
            </w:r>
          </w:p>
        </w:tc>
        <w:tc>
          <w:tcPr>
            <w:tcW w:w="5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(23,670)</w:t>
            </w:r>
          </w:p>
        </w:tc>
      </w:tr>
      <w:tr>
        <w:trPr>
          <w:trHeight w:val="270"/>
        </w:trPr>
        <w:tc>
          <w:tcPr>
            <w:tcW w:w="6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38,207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39,184</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38,643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39,184</w:t>
            </w:r>
          </w:p>
        </w:tc>
      </w:tr>
      <w:tr>
        <w:trPr>
          <w:trHeight w:val="28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(loss) per common share - Basic</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(0.60)</w:t>
            </w: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0.82</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losses for 2014, there was no dilutive effect to the weighted average common shares outstanding for that year. Approximately 0.7 million, 1.2 million, and 1.4 million stock-based awards were excluded from the calculation of diluted EPS for the years ended December 31, 2016, 2015, and 2014, respectively, because they were anti-dilutive. These stock-based awards could be dilutive in future periods.</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$3,320 and $5,949)</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299,870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298,550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51,636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32,345</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351,506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330,895</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138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w w:val="94"/>
              </w:rPr>
              <w:t>Year Ended December 31,</w:t>
            </w:r>
          </w:p>
        </w:tc>
        <w:tc>
          <w:tcPr>
            <w:tcW w:w="136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ind w:right="899"/>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4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38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6,195</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Provision for doubtful accounts, net</w:t>
            </w:r>
          </w:p>
        </w:tc>
        <w:tc>
          <w:tcPr>
            <w:tcW w:w="13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1,025</w:t>
            </w:r>
          </w:p>
        </w:tc>
      </w:tr>
      <w:tr>
        <w:trPr>
          <w:trHeight w:val="33"/>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1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(722)</w:t>
            </w:r>
          </w:p>
        </w:tc>
      </w:tr>
      <w:tr>
        <w:trPr>
          <w:trHeight w:val="33"/>
        </w:trPr>
        <w:tc>
          <w:tcPr>
            <w:tcW w:w="6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38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r>
      <w:tr>
        <w:trPr>
          <w:trHeight w:val="20"/>
        </w:trPr>
        <w:tc>
          <w:tcPr>
            <w:tcW w:w="6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Inventories</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111,191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7,925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9,400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69,874</w:t>
            </w:r>
          </w:p>
        </w:tc>
      </w:tr>
      <w:tr>
        <w:trPr>
          <w:trHeight w:val="244"/>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163,049</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190,465</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Property, plant, and equipment, net</w:t>
            </w:r>
          </w:p>
        </w:tc>
        <w:tc>
          <w:tcPr>
            <w:tcW w:w="300" w:type="dxa"/>
            <w:vAlign w:val="bottom"/>
          </w:tcPr>
          <w:p>
            <w:pPr>
              <w:spacing w:after="0"/>
              <w:rPr>
                <w:sz w:val="20"/>
                <w:szCs w:val="20"/>
                <w:color w:val="auto"/>
              </w:rPr>
            </w:pPr>
          </w:p>
        </w:tc>
        <w:tc>
          <w:tcPr>
            <w:tcW w:w="212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December 31, 2016</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2015</w:t>
            </w: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289,015</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Computers and software</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98,125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104,310</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122,680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127,531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20"/>
                <w:szCs w:val="20"/>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17,179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19,882</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32,639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cost</w:t>
            </w:r>
          </w:p>
        </w:tc>
        <w:tc>
          <w:tcPr>
            <w:tcW w:w="3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547,088</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573,377</w:t>
            </w: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(370,630)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(383,121)</w:t>
            </w:r>
          </w:p>
        </w:tc>
      </w:tr>
      <w:tr>
        <w:trPr>
          <w:trHeight w:val="244"/>
        </w:trPr>
        <w:tc>
          <w:tcPr>
            <w:tcW w:w="6740" w:type="dxa"/>
            <w:vAlign w:val="bottom"/>
          </w:tcPr>
          <w:p>
            <w:pPr>
              <w:ind w:left="112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176,458</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190,256</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43,206</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44,320</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54,435</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December 31, 2016</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2015</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Gross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372,568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388,981</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30,889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224,467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(170,056)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54,411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238,379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(168,885)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69,494</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11,076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702,507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(600,575)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101,932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2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702,507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748,148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4,827</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Intangible assets impaired</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(32,611)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(49,971)</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669,896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702,507</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impaired includes purchased software licenses to be sold to others. This amount was recognized as part of cost of revenues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 amortization expense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25,112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31,673</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43,619</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5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30"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226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Estimated Annual Amortization</w:t>
            </w:r>
          </w:p>
        </w:tc>
      </w:tr>
      <w:tr>
        <w:trPr>
          <w:trHeight w:val="33"/>
        </w:trPr>
        <w:tc>
          <w:tcPr>
            <w:tcW w:w="90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5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17,914</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12,383</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9,695</w:t>
            </w:r>
          </w:p>
        </w:tc>
      </w:tr>
      <w:tr>
        <w:trPr>
          <w:trHeight w:val="237"/>
        </w:trPr>
        <w:tc>
          <w:tcPr>
            <w:tcW w:w="9020" w:type="dxa"/>
            <w:vAlign w:val="bottom"/>
          </w:tcPr>
          <w:p>
            <w:pPr>
              <w:ind w:left="4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7,866</w:t>
            </w:r>
          </w:p>
        </w:tc>
      </w:tr>
      <w:tr>
        <w:trPr>
          <w:trHeight w:val="33"/>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6,845</w:t>
            </w:r>
          </w:p>
        </w:tc>
      </w:tr>
      <w:tr>
        <w:trPr>
          <w:trHeight w:val="237"/>
        </w:trPr>
        <w:tc>
          <w:tcPr>
            <w:tcW w:w="9160" w:type="dxa"/>
            <w:vAlign w:val="bottom"/>
            <w:gridSpan w:val="2"/>
          </w:tcPr>
          <w:p>
            <w:pPr>
              <w:ind w:left="40"/>
              <w:spacing w:after="0"/>
              <w:rPr>
                <w:sz w:val="20"/>
                <w:szCs w:val="20"/>
                <w:color w:val="auto"/>
              </w:rPr>
            </w:pPr>
            <w:r>
              <w:rPr>
                <w:rFonts w:ascii="Arial" w:cs="Arial" w:eastAsia="Arial" w:hAnsi="Arial"/>
                <w:sz w:val="16"/>
                <w:szCs w:val="16"/>
                <w:color w:val="auto"/>
              </w:rPr>
              <w:t>Beyond 2021</w:t>
            </w:r>
          </w:p>
        </w:tc>
        <w:tc>
          <w:tcPr>
            <w:tcW w:w="36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17,448</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intangible assets subject to amortization</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72,151</w:t>
            </w:r>
          </w:p>
        </w:tc>
      </w:tr>
      <w:tr>
        <w:trPr>
          <w:trHeight w:val="20"/>
        </w:trPr>
        <w:tc>
          <w:tcPr>
            <w:tcW w:w="9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2016 and 2015: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Electricity</w:t>
            </w:r>
          </w:p>
        </w:tc>
        <w:tc>
          <w:tcPr>
            <w:tcW w:w="42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Gas</w:t>
            </w:r>
          </w:p>
        </w:tc>
        <w:tc>
          <w:tcPr>
            <w:tcW w:w="50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Arial" w:cs="Arial" w:eastAsia="Arial" w:hAnsi="Arial"/>
                <w:sz w:val="16"/>
                <w:szCs w:val="16"/>
                <w:b w:val="1"/>
                <w:bCs w:val="1"/>
                <w:color w:val="auto"/>
              </w:rPr>
              <w:t>Water</w:t>
            </w:r>
          </w:p>
        </w:tc>
        <w:tc>
          <w:tcPr>
            <w:tcW w:w="200" w:type="dxa"/>
            <w:vAlign w:val="bottom"/>
          </w:tcPr>
          <w:p>
            <w:pPr>
              <w:spacing w:after="0"/>
              <w:rPr>
                <w:sz w:val="18"/>
                <w:szCs w:val="18"/>
                <w:color w:val="auto"/>
              </w:rPr>
            </w:pPr>
          </w:p>
        </w:tc>
        <w:tc>
          <w:tcPr>
            <w:tcW w:w="148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4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Goodwill balance at January 1, 2015</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449,668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359,485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1,191,808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(393,981)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(297,007)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(690,988)</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55,687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359,485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85,648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500,820</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acquired</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(28,049)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(37,382)</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Goodwill balance at December 31, 2015</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414,910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1,096,660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(362,177)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(266,361)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(628,538)</w:t>
            </w:r>
          </w:p>
        </w:tc>
      </w:tr>
      <w:tr>
        <w:trPr>
          <w:trHeight w:val="33"/>
        </w:trPr>
        <w:tc>
          <w:tcPr>
            <w:tcW w:w="4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52,733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331,436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468,122</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(15,628)</w:t>
            </w:r>
          </w:p>
        </w:tc>
      </w:tr>
      <w:tr>
        <w:trPr>
          <w:trHeight w:val="270"/>
        </w:trPr>
        <w:tc>
          <w:tcPr>
            <w:tcW w:w="4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2016</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Goodwill before impairment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400,299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319,913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334,505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1,054,717</w:t>
            </w:r>
          </w:p>
        </w:tc>
      </w:tr>
      <w:tr>
        <w:trPr>
          <w:trHeight w:val="33"/>
        </w:trPr>
        <w:tc>
          <w:tcPr>
            <w:tcW w:w="4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impairment losses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(348,926)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(253,297)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(602,223)</w:t>
            </w:r>
          </w:p>
        </w:tc>
      </w:tr>
      <w:tr>
        <w:trPr>
          <w:trHeight w:val="244"/>
        </w:trPr>
        <w:tc>
          <w:tcPr>
            <w:tcW w:w="4240" w:type="dxa"/>
            <w:vAlign w:val="bottom"/>
          </w:tcPr>
          <w:p>
            <w:pPr>
              <w:ind w:left="200"/>
              <w:spacing w:after="0"/>
              <w:rPr>
                <w:sz w:val="20"/>
                <w:szCs w:val="20"/>
                <w:color w:val="auto"/>
              </w:rPr>
            </w:pPr>
            <w:r>
              <w:rPr>
                <w:rFonts w:ascii="Arial" w:cs="Arial" w:eastAsia="Arial" w:hAnsi="Arial"/>
                <w:sz w:val="16"/>
                <w:szCs w:val="16"/>
                <w:color w:val="auto"/>
              </w:rPr>
              <w:t>Goodwill, net</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51,373</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319,913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81,208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452,494</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our 2016 and 2015 annual goodwill impairment test, performed as of October 1, 2016 and 2015, respectively, we performed the first step of the quantitative impairment test for Electricity, Gas, and Water and determined that the fair value of each of the reporting units exceeded their carrying values. No goodwill impairment was required to be recognized as the result of this quantitative analysis.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values of our reporting units and to determine the amount of any goodwill impairment.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68" w:right="239" w:bottom="1440" w:gutter="0" w:footer="0" w:header="0"/>
        </w:sectPr>
      </w:pPr>
    </w:p>
    <w:bookmarkStart w:id="62" w:name="page63"/>
    <w:bookmarkEnd w:id="62"/>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our borrowings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jc w:val="right"/>
        <w:ind w:right="2560"/>
        <w:spacing w:after="0"/>
        <w:rPr>
          <w:sz w:val="20"/>
          <w:szCs w:val="20"/>
          <w:color w:val="auto"/>
        </w:rPr>
      </w:pPr>
      <w:r>
        <w:rPr>
          <w:rFonts w:ascii="Arial" w:cs="Arial" w:eastAsia="Arial" w:hAnsi="Arial"/>
          <w:sz w:val="16"/>
          <w:szCs w:val="16"/>
          <w:color w:val="auto"/>
        </w:rPr>
        <w:t>Less: unamortized prepaid debt fees - term loan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2016</w:t>
            </w:r>
          </w:p>
        </w:tc>
        <w:tc>
          <w:tcPr>
            <w:tcW w:w="260" w:type="dxa"/>
            <w:vAlign w:val="bottom"/>
          </w:tcPr>
          <w:p>
            <w:pPr>
              <w:spacing w:after="0"/>
              <w:rPr>
                <w:sz w:val="18"/>
                <w:szCs w:val="18"/>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2015</w:t>
            </w:r>
          </w:p>
        </w:tc>
      </w:tr>
      <w:tr>
        <w:trPr>
          <w:trHeight w:val="33"/>
        </w:trPr>
        <w:tc>
          <w:tcPr>
            <w:tcW w:w="28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gridSpan w:val="4"/>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416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540"/>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208,125</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219,375</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97,167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151,837</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305,292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371,212</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14,063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11,250</w:t>
            </w:r>
          </w:p>
        </w:tc>
      </w:tr>
      <w:tr>
        <w:trPr>
          <w:trHeight w:val="270"/>
        </w:trPr>
        <w:tc>
          <w:tcPr>
            <w:tcW w:w="280" w:type="dxa"/>
            <w:vAlign w:val="bottom"/>
          </w:tcPr>
          <w:p>
            <w:pPr>
              <w:spacing w:after="0"/>
              <w:rPr>
                <w:sz w:val="23"/>
                <w:szCs w:val="23"/>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769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1,047</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290,460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358,915</w:t>
            </w:r>
          </w:p>
        </w:tc>
      </w:tr>
      <w:tr>
        <w:trPr>
          <w:trHeight w:val="33"/>
        </w:trPr>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-1054100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-711200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-368300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440"/>
          </w:cols>
          <w:pgMar w:left="240" w:top="364" w:right="239" w:bottom="1440" w:gutter="0" w:footer="0" w:header="0"/>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$250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0.18% to 0.30% per annum depending on our total leverage ratio as of the most recently ended fiscal quarter. Amounts repaid on the term loan may not be reborrowed. The 2015 credit facility permits us and certain of our 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13, 2016, we entered into an amendment to the 2015 credit facility, which reduced our $300 million standby letter of credit sub-facility to $250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 of $2.8 million through June 2017, $4.2 million from September 2017 through June 2018, $5.6 million from September 2018 through March 2020, and the remainder due at maturity on June 23, 2020. The term loan may be repaid early in whole or in part, subject to certain minimum thresholds, without penalty.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Required minimum principal payments on our outstanding credit facilities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9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14,063</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19,687</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22,500</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249,042</w:t>
            </w:r>
          </w:p>
        </w:tc>
      </w:tr>
      <w:tr>
        <w:trPr>
          <w:trHeight w:val="33"/>
        </w:trPr>
        <w:tc>
          <w:tcPr>
            <w:tcW w:w="9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9360" w:type="dxa"/>
            <w:vAlign w:val="bottom"/>
          </w:tcPr>
          <w:p>
            <w:pPr>
              <w:ind w:left="180"/>
              <w:spacing w:after="0"/>
              <w:rPr>
                <w:sz w:val="20"/>
                <w:szCs w:val="20"/>
                <w:color w:val="auto"/>
              </w:rPr>
            </w:pPr>
            <w:r>
              <w:rPr>
                <w:rFonts w:ascii="Arial" w:cs="Arial" w:eastAsia="Arial" w:hAnsi="Arial"/>
                <w:sz w:val="16"/>
                <w:szCs w:val="16"/>
                <w:color w:val="auto"/>
              </w:rPr>
              <w:t>Total minimum payments on debt</w:t>
            </w:r>
          </w:p>
        </w:tc>
        <w:tc>
          <w:tcPr>
            <w:tcW w:w="3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305,292</w:t>
            </w:r>
          </w:p>
        </w:tc>
      </w:tr>
      <w:tr>
        <w:trPr>
          <w:trHeight w:val="20"/>
        </w:trPr>
        <w:tc>
          <w:tcPr>
            <w:tcW w:w="9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December 31, 2016 and 2015,</w:t>
      </w:r>
    </w:p>
    <w:p>
      <w:pPr>
        <w:sectPr>
          <w:pgSz w:w="11900" w:h="16838" w:orient="portrait"/>
          <w:cols w:equalWidth="0" w:num="1">
            <w:col w:w="11420"/>
          </w:cols>
          <w:pgMar w:left="240" w:top="364" w:right="239" w:bottom="1440" w:gutter="0" w:footer="0" w:header="0"/>
          <w:type w:val="continuous"/>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364" w:right="239" w:bottom="1440" w:gutter="0" w:footer="0" w:header="0"/>
          <w:type w:val="continuous"/>
        </w:sectPr>
      </w:pPr>
    </w:p>
    <w:bookmarkStart w:id="63" w:name="page64"/>
    <w:bookmarkEnd w:id="63"/>
    <w:p>
      <w:pPr>
        <w:jc w:val="both"/>
        <w:spacing w:after="0" w:line="264" w:lineRule="auto"/>
        <w:rPr>
          <w:sz w:val="20"/>
          <w:szCs w:val="20"/>
          <w:color w:val="auto"/>
        </w:rPr>
      </w:pPr>
      <w:r>
        <w:rPr>
          <w:rFonts w:ascii="Arial" w:cs="Arial" w:eastAsia="Arial" w:hAnsi="Arial"/>
          <w:sz w:val="18"/>
          <w:szCs w:val="18"/>
          <w:color w:val="auto"/>
        </w:rPr>
        <w:t>the interest rates for both the term loan and the USD revolver was 2.02% and 2.18%, which includes the LIBOR rate plus a margin of 1.25% and 1.75%, respectively. At December 31, 2016 and 2015, the interest rates for the EUR revolver was 1.25% and 1.75%, which includes the EURIBOR floor rate plus a margin of 1.25% and 1.75%,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credit facility repayments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11,250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26,250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Multicurrency revolving line of credit</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67,869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49,873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76,188</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credit facility repayments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79,119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62,998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102,438</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2016, $97.2 million was outstanding under the 2015 credit facility revolver, and $46.1 million was utilized by outstanding standby letters of credit, resulting in $356.7 million available for additional borrowings or standby letters of credit. At December 31, 2016, $203.9 million was available for additional standby letters of credit under the letter of credit sub-facility and no amounts were outstanding under the swingline sub-facility.</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14, and Note 15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w:t>
            </w:r>
          </w:p>
        </w:tc>
        <w:tc>
          <w:tcPr>
            <w:tcW w:w="420" w:type="dxa"/>
            <w:vAlign w:val="bottom"/>
          </w:tcPr>
          <w:p>
            <w:pPr>
              <w:spacing w:after="0"/>
              <w:rPr>
                <w:sz w:val="18"/>
                <w:szCs w:val="18"/>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436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18"/>
                <w:szCs w:val="18"/>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36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80" w:type="dxa"/>
            <w:vAlign w:val="bottom"/>
            <w:gridSpan w:val="3"/>
          </w:tcPr>
          <w:p>
            <w:pPr>
              <w:jc w:val="right"/>
              <w:ind w:right="11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3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3"/>
        </w:trPr>
        <w:tc>
          <w:tcPr>
            <w:tcW w:w="77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7"/>
        </w:trPr>
        <w:tc>
          <w:tcPr>
            <w:tcW w:w="77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rate cap contracts</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6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342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1,830</w:t>
            </w: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1,632</w:t>
            </w:r>
          </w:p>
        </w:tc>
      </w:tr>
      <w:tr>
        <w:trPr>
          <w:trHeight w:val="33"/>
        </w:trPr>
        <w:tc>
          <w:tcPr>
            <w:tcW w:w="43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4"/>
        </w:trPr>
        <w:tc>
          <w:tcPr>
            <w:tcW w:w="4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rate cap contracts</w:t>
            </w:r>
          </w:p>
        </w:tc>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r>
      <w:tr>
        <w:trPr>
          <w:trHeight w:val="47"/>
        </w:trPr>
        <w:tc>
          <w:tcPr>
            <w:tcW w:w="4360" w:type="dxa"/>
            <w:vAlign w:val="bottom"/>
            <w:shd w:val="clear" w:color="auto" w:fill="CCEEFF"/>
          </w:tcPr>
          <w:p>
            <w:pPr>
              <w:spacing w:after="0"/>
              <w:rPr>
                <w:sz w:val="4"/>
                <w:szCs w:val="4"/>
                <w:color w:val="auto"/>
              </w:rPr>
            </w:pPr>
          </w:p>
        </w:tc>
        <w:tc>
          <w:tcPr>
            <w:tcW w:w="3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20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352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17"/>
        </w:trPr>
        <w:tc>
          <w:tcPr>
            <w:tcW w:w="42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2,945</w:t>
            </w:r>
          </w:p>
        </w:tc>
        <w:tc>
          <w:tcPr>
            <w:tcW w:w="120" w:type="dxa"/>
            <w:vAlign w:val="bottom"/>
          </w:tcPr>
          <w:p>
            <w:pPr>
              <w:spacing w:after="0"/>
              <w:rPr>
                <w:sz w:val="18"/>
                <w:szCs w:val="18"/>
                <w:color w:val="auto"/>
              </w:rPr>
            </w:pP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3,082</w:t>
            </w:r>
          </w:p>
        </w:tc>
      </w:tr>
      <w:tr>
        <w:trPr>
          <w:trHeight w:val="33"/>
        </w:trPr>
        <w:tc>
          <w:tcPr>
            <w:tcW w:w="35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3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-368300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-16510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720"/>
            <w:col w:w="7040"/>
          </w:cols>
          <w:pgMar w:left="240" w:top="368" w:right="239" w:bottom="1440" w:gutter="0" w:footer="0" w:header="0"/>
          <w:type w:val="continuous"/>
        </w:sectPr>
      </w:pP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4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4460" w:type="dxa"/>
            <w:vAlign w:val="bottom"/>
          </w:tcPr>
          <w:p>
            <w:pPr>
              <w:ind w:left="940"/>
              <w:spacing w:after="0"/>
              <w:rPr>
                <w:sz w:val="20"/>
                <w:szCs w:val="20"/>
                <w:color w:val="auto"/>
              </w:rPr>
            </w:pPr>
            <w:r>
              <w:rPr>
                <w:rFonts w:ascii="Arial" w:cs="Arial" w:eastAsia="Arial" w:hAnsi="Arial"/>
                <w:sz w:val="16"/>
                <w:szCs w:val="16"/>
                <w:color w:val="auto"/>
              </w:rPr>
              <w:t>Other current liabilities</w:t>
            </w:r>
          </w:p>
        </w:tc>
        <w:tc>
          <w:tcPr>
            <w:tcW w:w="6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7"/>
                <w:szCs w:val="17"/>
                <w:color w:val="auto"/>
              </w:rPr>
            </w:pPr>
          </w:p>
        </w:tc>
        <w:tc>
          <w:tcPr>
            <w:tcW w:w="720" w:type="dxa"/>
            <w:vAlign w:val="bottom"/>
          </w:tcPr>
          <w:p>
            <w:pPr>
              <w:jc w:val="right"/>
              <w:ind w:right="5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47"/>
        </w:trPr>
        <w:tc>
          <w:tcPr>
            <w:tcW w:w="790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6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24"/>
        </w:trPr>
        <w:tc>
          <w:tcPr>
            <w:tcW w:w="344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4460" w:type="dxa"/>
            <w:vAlign w:val="bottom"/>
          </w:tcPr>
          <w:p>
            <w:pPr>
              <w:ind w:left="940"/>
              <w:spacing w:after="0"/>
              <w:rPr>
                <w:sz w:val="20"/>
                <w:szCs w:val="20"/>
                <w:color w:val="auto"/>
              </w:rPr>
            </w:pPr>
            <w:r>
              <w:rPr>
                <w:rFonts w:ascii="Arial" w:cs="Arial" w:eastAsia="Arial" w:hAnsi="Arial"/>
                <w:sz w:val="16"/>
                <w:szCs w:val="16"/>
                <w:color w:val="auto"/>
              </w:rPr>
              <w:t>Other current liabilities</w:t>
            </w:r>
          </w:p>
        </w:tc>
        <w:tc>
          <w:tcPr>
            <w:tcW w:w="6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99</w:t>
            </w:r>
          </w:p>
        </w:tc>
      </w:tr>
      <w:tr>
        <w:trPr>
          <w:trHeight w:val="47"/>
        </w:trPr>
        <w:tc>
          <w:tcPr>
            <w:tcW w:w="3440" w:type="dxa"/>
            <w:vAlign w:val="bottom"/>
            <w:tcBorders>
              <w:bottom w:val="single" w:sz="8" w:color="CCEEFF"/>
            </w:tcBorders>
          </w:tcPr>
          <w:p>
            <w:pPr>
              <w:spacing w:after="0"/>
              <w:rPr>
                <w:sz w:val="4"/>
                <w:szCs w:val="4"/>
                <w:color w:val="auto"/>
              </w:rPr>
            </w:pPr>
          </w:p>
        </w:tc>
        <w:tc>
          <w:tcPr>
            <w:tcW w:w="44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55"/>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liability derivatives</w:t>
            </w:r>
          </w:p>
        </w:tc>
        <w:tc>
          <w:tcPr>
            <w:tcW w:w="4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967</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368"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net of tax,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2015</w:t>
            </w:r>
          </w:p>
        </w:tc>
        <w:tc>
          <w:tcPr>
            <w:tcW w:w="46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w w:val="97"/>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 (loss) on hedging instruments at January 1,</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(14,062)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(15,148)</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(15,636)</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Unrealized gain (loss) on derivative instruments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(gains) losses reclassified into net income (loss)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1,010</w:t>
            </w: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w:t>
            </w:r>
          </w:p>
        </w:tc>
      </w:tr>
      <w:tr>
        <w:trPr>
          <w:trHeight w:val="231"/>
        </w:trPr>
        <w:tc>
          <w:tcPr>
            <w:tcW w:w="6060" w:type="dxa"/>
            <w:vAlign w:val="bottom"/>
          </w:tcPr>
          <w:p>
            <w:pPr>
              <w:ind w:left="40"/>
              <w:spacing w:after="0"/>
              <w:rPr>
                <w:sz w:val="20"/>
                <w:szCs w:val="20"/>
                <w:color w:val="auto"/>
              </w:rPr>
            </w:pPr>
            <w:r>
              <w:rPr>
                <w:rFonts w:ascii="Arial" w:cs="Arial" w:eastAsia="Arial" w:hAnsi="Arial"/>
                <w:sz w:val="16"/>
                <w:szCs w:val="16"/>
                <w:color w:val="auto"/>
              </w:rPr>
              <w:t>Net unrealized gain (loss) on hedging instruments at December 31,</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(14,337)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(14,062)</w:t>
            </w:r>
          </w:p>
        </w:tc>
        <w:tc>
          <w:tcPr>
            <w:tcW w:w="4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(15,148)</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years ended December 31, 2016, 2015, and 2014. Included in the net unrealized loss on hedging instruments at December 31, 2016 and 2015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Gross Amounts Not Offset in the Consolidated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40"/>
              <w:spacing w:after="0"/>
              <w:rPr>
                <w:sz w:val="20"/>
                <w:szCs w:val="20"/>
                <w:color w:val="auto"/>
              </w:rPr>
            </w:pPr>
            <w:r>
              <w:rPr>
                <w:rFonts w:ascii="Arial" w:cs="Arial" w:eastAsia="Arial" w:hAnsi="Arial"/>
                <w:sz w:val="16"/>
                <w:szCs w:val="16"/>
                <w:b w:val="1"/>
                <w:bCs w:val="1"/>
                <w:color w:val="auto"/>
              </w:rPr>
              <w:t>Balance Sheets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7"/>
              </w:rPr>
              <w:t>Recognized Assets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Derivative Financial</w:t>
            </w:r>
          </w:p>
        </w:tc>
        <w:tc>
          <w:tcPr>
            <w:tcW w:w="28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Cash Collateral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Instruments</w:t>
            </w:r>
          </w:p>
        </w:tc>
        <w:tc>
          <w:tcPr>
            <w:tcW w:w="28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Received</w:t>
            </w: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2,945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3,082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Offsetting of Derivative Liabilities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Gross Amounts Not Offset in the Consolidated</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40"/>
              <w:spacing w:after="0"/>
              <w:rPr>
                <w:sz w:val="20"/>
                <w:szCs w:val="20"/>
                <w:color w:val="auto"/>
              </w:rPr>
            </w:pPr>
            <w:r>
              <w:rPr>
                <w:rFonts w:ascii="Arial" w:cs="Arial" w:eastAsia="Arial" w:hAnsi="Arial"/>
                <w:sz w:val="16"/>
                <w:szCs w:val="16"/>
                <w:b w:val="1"/>
                <w:bCs w:val="1"/>
                <w:color w:val="auto"/>
              </w:rPr>
              <w:t>Balance Sheets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84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Recognized Liabilities</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Presented in the</w:t>
            </w: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Consolidated Balance</w:t>
            </w:r>
          </w:p>
        </w:tc>
        <w:tc>
          <w:tcPr>
            <w:tcW w:w="140" w:type="dxa"/>
            <w:vAlign w:val="bottom"/>
          </w:tcPr>
          <w:p>
            <w:pPr>
              <w:spacing w:after="0"/>
              <w:rPr>
                <w:sz w:val="17"/>
                <w:szCs w:val="17"/>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Derivative Financial</w:t>
            </w:r>
          </w:p>
        </w:tc>
        <w:tc>
          <w:tcPr>
            <w:tcW w:w="280" w:type="dxa"/>
            <w:vAlign w:val="bottom"/>
          </w:tcPr>
          <w:p>
            <w:pPr>
              <w:spacing w:after="0"/>
              <w:rPr>
                <w:sz w:val="17"/>
                <w:szCs w:val="17"/>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Cash Collateral</w:t>
            </w:r>
          </w:p>
        </w:tc>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right="139"/>
              <w:spacing w:after="0"/>
              <w:rPr>
                <w:sz w:val="20"/>
                <w:szCs w:val="20"/>
                <w:color w:val="auto"/>
              </w:rPr>
            </w:pPr>
            <w:r>
              <w:rPr>
                <w:rFonts w:ascii="Arial" w:cs="Arial" w:eastAsia="Arial" w:hAnsi="Arial"/>
                <w:sz w:val="16"/>
                <w:szCs w:val="16"/>
                <w:b w:val="1"/>
                <w:bCs w:val="1"/>
                <w:color w:val="auto"/>
                <w:w w:val="83"/>
              </w:rPr>
              <w:t>Sheets</w:t>
            </w:r>
          </w:p>
        </w:tc>
        <w:tc>
          <w:tcPr>
            <w:tcW w:w="140" w:type="dxa"/>
            <w:vAlign w:val="bottom"/>
          </w:tcPr>
          <w:p>
            <w:pPr>
              <w:spacing w:after="0"/>
              <w:rPr>
                <w:sz w:val="18"/>
                <w:szCs w:val="18"/>
                <w:color w:val="auto"/>
              </w:rPr>
            </w:pPr>
          </w:p>
        </w:tc>
        <w:tc>
          <w:tcPr>
            <w:tcW w:w="1640" w:type="dxa"/>
            <w:vAlign w:val="bottom"/>
          </w:tcPr>
          <w:p>
            <w:pPr>
              <w:jc w:val="right"/>
              <w:ind w:right="399"/>
              <w:spacing w:after="0"/>
              <w:rPr>
                <w:sz w:val="20"/>
                <w:szCs w:val="20"/>
                <w:color w:val="auto"/>
              </w:rPr>
            </w:pPr>
            <w:r>
              <w:rPr>
                <w:rFonts w:ascii="Arial" w:cs="Arial" w:eastAsia="Arial" w:hAnsi="Arial"/>
                <w:sz w:val="16"/>
                <w:szCs w:val="16"/>
                <w:b w:val="1"/>
                <w:bCs w:val="1"/>
                <w:color w:val="auto"/>
              </w:rPr>
              <w:t>Instruments</w:t>
            </w:r>
          </w:p>
        </w:tc>
        <w:tc>
          <w:tcPr>
            <w:tcW w:w="280" w:type="dxa"/>
            <w:vAlign w:val="bottom"/>
          </w:tcPr>
          <w:p>
            <w:pPr>
              <w:spacing w:after="0"/>
              <w:rPr>
                <w:sz w:val="18"/>
                <w:szCs w:val="18"/>
                <w:color w:val="auto"/>
              </w:rPr>
            </w:pPr>
          </w:p>
        </w:tc>
        <w:tc>
          <w:tcPr>
            <w:tcW w:w="148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Pledged</w:t>
            </w:r>
          </w:p>
        </w:tc>
        <w:tc>
          <w:tcPr>
            <w:tcW w:w="380" w:type="dxa"/>
            <w:vAlign w:val="bottom"/>
          </w:tcPr>
          <w:p>
            <w:pPr>
              <w:spacing w:after="0"/>
              <w:rPr>
                <w:sz w:val="18"/>
                <w:szCs w:val="18"/>
                <w:color w:val="auto"/>
              </w:rPr>
            </w:pPr>
          </w:p>
        </w:tc>
        <w:tc>
          <w:tcPr>
            <w:tcW w:w="1420" w:type="dxa"/>
            <w:vAlign w:val="bottom"/>
          </w:tcPr>
          <w:p>
            <w:pPr>
              <w:jc w:val="right"/>
              <w:ind w:right="33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3"/>
          </w:tcPr>
          <w:p>
            <w:pPr>
              <w:ind w:left="1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1,383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967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33"/>
        </w:trPr>
        <w:tc>
          <w:tcPr>
            <w:tcW w:w="4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derivative assets and liabilities subject to netting arrangements consist of foreign exchange forward and interest rate contracts with three counterparties at December 31, 2016 and nine counterparties at December 31, 2015. No derivative asset or liability balance with any of our counterparties was individually significant at December 31, 2016 or 2015.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the hedged portion of debt in order to decrease this variability 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68" w:right="2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our cash flows. The objective of these swaps is to reduce the variability of cash flows from increases in the LIBOR-based borrowing rates on our floating rate credit facility. The swaps do not protect us from changes to the applicable margin under our credit facility.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2012, we entered into six interest rate swaps, which were effective July 31, 2013 and expired on August 8, 2016, to convert $200 million of our LIBOR based debt from a floating LIBOR interest rate to a fixed interest rate of 1.00% (excluding the applicable margin on the debt). The cash flow hedges were expected to be highly effective in achieving offsetting cash flows attributable to the hedged risk through the term of the hedge. Consequently, effective changes in the fair value of the interest rate swaps were recognized as a component of OCI and recognized in earnings when the hedged item affected earnings. The amounts paid on the hedges were recognized as adjustments to interest expense.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recognized as a component of OCI and will be recognized in earnings when the hedged item affects earnings. The amounts paid or received on the hedge are recognized as an adjustment to interest expense. The amount of net losses expected to be reclassified into earnings in the next 12 months is $0.9 million. At December 31, 2016, our LIBOR-based debt balance was $248.1 million.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As of December 31, 2016, due to the accelerated revolver payments from surplus cash, we have elected to de-designate two of the interest rate cap contracts as cash flow hedges and discontinue the use of cash flow hedge accounting. The amounts recognized in AOCI from de-designated interest rate cap contracts will continue to be reported in AOCI unless it is not probable that the forecasted transactions will occur. As a result of the discontinuance of cash flow hedge accounting, all subsequent changes in fair value of the de-designated derivative instruments are recognized within interest expense instead of OCI. The amount of net losses expected to be reclassified into earnings for all interest rate cap contracts in the next 12 months is $0.2 million.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cash flow derivative hedging instruments on the Consolidated Balance Sheets and the Consolidated Statements of Operations for the years ended December 31 are as follows:</w:t>
      </w:r>
    </w:p>
    <w:p>
      <w:pPr>
        <w:sectPr>
          <w:pgSz w:w="11900" w:h="16838" w:orient="portrait"/>
          <w:cols w:equalWidth="0" w:num="1">
            <w:col w:w="11420"/>
          </w:cols>
          <w:pgMar w:left="240" w:top="368" w:right="239" w:bottom="1440" w:gutter="0" w:footer="0" w:header="0"/>
        </w:sectPr>
      </w:pPr>
    </w:p>
    <w:p>
      <w:pPr>
        <w:spacing w:after="0" w:line="333"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Derivatives in</w:t>
            </w:r>
          </w:p>
        </w:tc>
        <w:tc>
          <w:tcPr>
            <w:tcW w:w="2580" w:type="dxa"/>
            <w:vAlign w:val="bottom"/>
          </w:tcPr>
          <w:p>
            <w:pPr>
              <w:spacing w:after="0"/>
              <w:rPr>
                <w:sz w:val="17"/>
                <w:szCs w:val="17"/>
                <w:color w:val="auto"/>
              </w:rPr>
            </w:pPr>
          </w:p>
        </w:tc>
      </w:tr>
      <w:tr>
        <w:trPr>
          <w:trHeight w:val="203"/>
        </w:trPr>
        <w:tc>
          <w:tcPr>
            <w:tcW w:w="1160" w:type="dxa"/>
            <w:vAlign w:val="bottom"/>
          </w:tcPr>
          <w:p>
            <w:pPr>
              <w:spacing w:after="0"/>
              <w:rPr>
                <w:sz w:val="20"/>
                <w:szCs w:val="20"/>
                <w:color w:val="auto"/>
              </w:rPr>
            </w:pPr>
            <w:r>
              <w:rPr>
                <w:rFonts w:ascii="Arial" w:cs="Arial" w:eastAsia="Arial" w:hAnsi="Arial"/>
                <w:sz w:val="16"/>
                <w:szCs w:val="16"/>
                <w:b w:val="1"/>
                <w:bCs w:val="1"/>
                <w:color w:val="auto"/>
              </w:rPr>
              <w:t>ASC 815 Cash</w:t>
            </w:r>
          </w:p>
        </w:tc>
        <w:tc>
          <w:tcPr>
            <w:tcW w:w="2580" w:type="dxa"/>
            <w:vAlign w:val="bottom"/>
          </w:tcPr>
          <w:p>
            <w:pPr>
              <w:jc w:val="center"/>
              <w:ind w:left="79"/>
              <w:spacing w:after="0"/>
              <w:rPr>
                <w:sz w:val="20"/>
                <w:szCs w:val="20"/>
                <w:color w:val="auto"/>
              </w:rPr>
            </w:pPr>
            <w:r>
              <w:rPr>
                <w:rFonts w:ascii="Arial" w:cs="Arial" w:eastAsia="Arial" w:hAnsi="Arial"/>
                <w:sz w:val="16"/>
                <w:szCs w:val="16"/>
                <w:b w:val="1"/>
                <w:bCs w:val="1"/>
                <w:color w:val="auto"/>
                <w:w w:val="90"/>
              </w:rPr>
              <w:t>Amount of Gain (Loss) Recognized</w:t>
            </w:r>
          </w:p>
        </w:tc>
      </w:tr>
      <w:tr>
        <w:trPr>
          <w:trHeight w:val="203"/>
        </w:trPr>
        <w:tc>
          <w:tcPr>
            <w:tcW w:w="1160" w:type="dxa"/>
            <w:vAlign w:val="bottom"/>
          </w:tcPr>
          <w:p>
            <w:pPr>
              <w:ind w:left="20"/>
              <w:spacing w:after="0"/>
              <w:rPr>
                <w:sz w:val="20"/>
                <w:szCs w:val="20"/>
                <w:color w:val="auto"/>
              </w:rPr>
            </w:pPr>
            <w:r>
              <w:rPr>
                <w:rFonts w:ascii="Arial" w:cs="Arial" w:eastAsia="Arial" w:hAnsi="Arial"/>
                <w:sz w:val="16"/>
                <w:szCs w:val="16"/>
                <w:b w:val="1"/>
                <w:bCs w:val="1"/>
                <w:color w:val="auto"/>
              </w:rPr>
              <w:t>Flow Hedging</w:t>
            </w:r>
          </w:p>
        </w:tc>
        <w:tc>
          <w:tcPr>
            <w:tcW w:w="2580" w:type="dxa"/>
            <w:vAlign w:val="bottom"/>
          </w:tcPr>
          <w:p>
            <w:pPr>
              <w:jc w:val="center"/>
              <w:ind w:left="99"/>
              <w:spacing w:after="0"/>
              <w:rPr>
                <w:sz w:val="20"/>
                <w:szCs w:val="20"/>
                <w:color w:val="auto"/>
              </w:rPr>
            </w:pPr>
            <w:r>
              <w:rPr>
                <w:rFonts w:ascii="Arial" w:cs="Arial" w:eastAsia="Arial" w:hAnsi="Arial"/>
                <w:sz w:val="16"/>
                <w:szCs w:val="16"/>
                <w:b w:val="1"/>
                <w:bCs w:val="1"/>
                <w:color w:val="auto"/>
                <w:w w:val="94"/>
              </w:rPr>
              <w:t>in OCI on Derivative (Effective</w:t>
            </w:r>
          </w:p>
        </w:tc>
      </w:tr>
      <w:tr>
        <w:trPr>
          <w:trHeight w:val="210"/>
        </w:trPr>
        <w:tc>
          <w:tcPr>
            <w:tcW w:w="1160" w:type="dxa"/>
            <w:vAlign w:val="bottom"/>
          </w:tcPr>
          <w:p>
            <w:pPr>
              <w:ind w:left="40"/>
              <w:spacing w:after="0"/>
              <w:rPr>
                <w:sz w:val="20"/>
                <w:szCs w:val="20"/>
                <w:color w:val="auto"/>
              </w:rPr>
            </w:pPr>
            <w:r>
              <w:rPr>
                <w:rFonts w:ascii="Arial" w:cs="Arial" w:eastAsia="Arial" w:hAnsi="Arial"/>
                <w:sz w:val="16"/>
                <w:szCs w:val="16"/>
                <w:b w:val="1"/>
                <w:bCs w:val="1"/>
                <w:color w:val="auto"/>
              </w:rPr>
              <w:t>Relationships</w:t>
            </w:r>
          </w:p>
        </w:tc>
        <w:tc>
          <w:tcPr>
            <w:tcW w:w="2580" w:type="dxa"/>
            <w:vAlign w:val="bottom"/>
          </w:tcPr>
          <w:p>
            <w:pPr>
              <w:jc w:val="center"/>
              <w:ind w:left="79"/>
              <w:spacing w:after="0"/>
              <w:rPr>
                <w:sz w:val="20"/>
                <w:szCs w:val="20"/>
                <w:color w:val="auto"/>
              </w:rPr>
            </w:pPr>
            <w:r>
              <w:rPr>
                <w:rFonts w:ascii="Arial" w:cs="Arial" w:eastAsia="Arial" w:hAnsi="Arial"/>
                <w:sz w:val="16"/>
                <w:szCs w:val="16"/>
                <w:b w:val="1"/>
                <w:bCs w:val="1"/>
                <w:color w:val="auto"/>
                <w:w w:val="94"/>
              </w:rPr>
              <w:t>Portion)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4872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282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w w:val="89"/>
              </w:rPr>
              <w:t>Loss Reclassified from</w:t>
            </w:r>
          </w:p>
        </w:tc>
        <w:tc>
          <w:tcPr>
            <w:tcW w:w="3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Loss Recognized in Income on</w:t>
            </w:r>
          </w:p>
        </w:tc>
      </w:tr>
      <w:tr>
        <w:trPr>
          <w:trHeight w:val="210"/>
        </w:trPr>
        <w:tc>
          <w:tcPr>
            <w:tcW w:w="3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AOCI into Income (Effective Portion)</w:t>
            </w:r>
          </w:p>
        </w:tc>
        <w:tc>
          <w:tcPr>
            <w:tcW w:w="3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Derivative (Ineffective Portion)</w:t>
            </w:r>
          </w:p>
        </w:tc>
      </w:tr>
      <w:tr>
        <w:trPr>
          <w:trHeight w:val="33"/>
        </w:trPr>
        <w:tc>
          <w:tcPr>
            <w:tcW w:w="9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5"/>
        </w:trPr>
        <w:tc>
          <w:tcPr>
            <w:tcW w:w="920" w:type="dxa"/>
            <w:vAlign w:val="bottom"/>
          </w:tcPr>
          <w:p>
            <w:pPr>
              <w:ind w:left="180"/>
              <w:spacing w:after="0"/>
              <w:rPr>
                <w:sz w:val="20"/>
                <w:szCs w:val="20"/>
                <w:color w:val="auto"/>
              </w:rPr>
            </w:pPr>
            <w:r>
              <w:rPr>
                <w:rFonts w:ascii="Arial" w:cs="Arial" w:eastAsia="Arial" w:hAnsi="Arial"/>
                <w:sz w:val="16"/>
                <w:szCs w:val="16"/>
                <w:b w:val="1"/>
                <w:bCs w:val="1"/>
                <w:color w:val="auto"/>
              </w:rPr>
              <w:t>Location</w:t>
            </w:r>
          </w:p>
        </w:tc>
        <w:tc>
          <w:tcPr>
            <w:tcW w:w="2820" w:type="dxa"/>
            <w:vAlign w:val="bottom"/>
            <w:gridSpan w:val="2"/>
          </w:tcPr>
          <w:p>
            <w:pPr>
              <w:ind w:left="1180"/>
              <w:spacing w:after="0"/>
              <w:rPr>
                <w:sz w:val="20"/>
                <w:szCs w:val="20"/>
                <w:color w:val="auto"/>
              </w:rPr>
            </w:pPr>
            <w:r>
              <w:rPr>
                <w:rFonts w:ascii="Arial" w:cs="Arial" w:eastAsia="Arial" w:hAnsi="Arial"/>
                <w:sz w:val="16"/>
                <w:szCs w:val="16"/>
                <w:b w:val="1"/>
                <w:bCs w:val="1"/>
                <w:color w:val="auto"/>
              </w:rPr>
              <w:t>Amount</w:t>
            </w:r>
          </w:p>
        </w:tc>
        <w:tc>
          <w:tcPr>
            <w:tcW w:w="1460" w:type="dxa"/>
            <w:vAlign w:val="bottom"/>
          </w:tcPr>
          <w:p>
            <w:pPr>
              <w:ind w:left="200"/>
              <w:spacing w:after="0"/>
              <w:rPr>
                <w:sz w:val="20"/>
                <w:szCs w:val="20"/>
                <w:color w:val="auto"/>
              </w:rPr>
            </w:pPr>
            <w:r>
              <w:rPr>
                <w:rFonts w:ascii="Arial" w:cs="Arial" w:eastAsia="Arial" w:hAnsi="Arial"/>
                <w:sz w:val="16"/>
                <w:szCs w:val="16"/>
                <w:b w:val="1"/>
                <w:bCs w:val="1"/>
                <w:color w:val="auto"/>
              </w:rPr>
              <w:t>Location</w:t>
            </w:r>
          </w:p>
        </w:tc>
        <w:tc>
          <w:tcPr>
            <w:tcW w:w="2180" w:type="dxa"/>
            <w:vAlign w:val="bottom"/>
          </w:tcPr>
          <w:p>
            <w:pPr>
              <w:ind w:left="640"/>
              <w:spacing w:after="0"/>
              <w:rPr>
                <w:sz w:val="20"/>
                <w:szCs w:val="20"/>
                <w:color w:val="auto"/>
              </w:rPr>
            </w:pPr>
            <w:r>
              <w:rPr>
                <w:rFonts w:ascii="Arial" w:cs="Arial" w:eastAsia="Arial" w:hAnsi="Arial"/>
                <w:sz w:val="16"/>
                <w:szCs w:val="16"/>
                <w:b w:val="1"/>
                <w:bCs w:val="1"/>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4690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3900" w:space="140"/>
            <w:col w:w="7380"/>
          </w:cols>
          <w:pgMar w:left="240" w:top="368"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58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2014</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b w:val="1"/>
                <w:bCs w:val="1"/>
                <w:color w:val="auto"/>
              </w:rPr>
              <w:t>2014</w:t>
            </w:r>
          </w:p>
        </w:tc>
      </w:tr>
      <w:tr>
        <w:trPr>
          <w:trHeight w:val="33"/>
        </w:trPr>
        <w:tc>
          <w:tcPr>
            <w:tcW w:w="1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17"/>
        </w:trPr>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33"/>
        </w:trPr>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20"/>
        </w:trPr>
        <w:tc>
          <w:tcPr>
            <w:tcW w:w="1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03"/>
        </w:trPr>
        <w:tc>
          <w:tcPr>
            <w:tcW w:w="1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rate</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03"/>
        </w:trPr>
        <w:tc>
          <w:tcPr>
            <w:tcW w:w="1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swap</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9"/>
        </w:trPr>
        <w:tc>
          <w:tcPr>
            <w:tcW w:w="1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w:t>
            </w:r>
          </w:p>
        </w:tc>
        <w:tc>
          <w:tcPr>
            <w:tcW w:w="1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w:t>
            </w:r>
          </w:p>
        </w:tc>
      </w:tr>
      <w:tr>
        <w:trPr>
          <w:trHeight w:val="220"/>
        </w:trPr>
        <w:tc>
          <w:tcPr>
            <w:tcW w:w="1440" w:type="dxa"/>
            <w:vAlign w:val="bottom"/>
          </w:tcPr>
          <w:p>
            <w:pPr>
              <w:ind w:left="72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03"/>
        </w:trPr>
        <w:tc>
          <w:tcPr>
            <w:tcW w:w="1440" w:type="dxa"/>
            <w:vAlign w:val="bottom"/>
          </w:tcPr>
          <w:p>
            <w:pPr>
              <w:ind w:left="720"/>
              <w:spacing w:after="0"/>
              <w:rPr>
                <w:sz w:val="20"/>
                <w:szCs w:val="20"/>
                <w:color w:val="auto"/>
              </w:rPr>
            </w:pPr>
            <w:r>
              <w:rPr>
                <w:rFonts w:ascii="Arial" w:cs="Arial" w:eastAsia="Arial" w:hAnsi="Arial"/>
                <w:sz w:val="16"/>
                <w:szCs w:val="16"/>
                <w:color w:val="auto"/>
              </w:rPr>
              <w:t>rate cap</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6"/>
        </w:trPr>
        <w:tc>
          <w:tcPr>
            <w:tcW w:w="1440" w:type="dxa"/>
            <w:vAlign w:val="bottom"/>
          </w:tcPr>
          <w:p>
            <w:pPr>
              <w:ind w:left="720"/>
              <w:spacing w:after="0"/>
              <w:rPr>
                <w:sz w:val="20"/>
                <w:szCs w:val="20"/>
                <w:color w:val="auto"/>
              </w:rPr>
            </w:pPr>
            <w:r>
              <w:rPr>
                <w:rFonts w:ascii="Arial" w:cs="Arial" w:eastAsia="Arial" w:hAnsi="Arial"/>
                <w:sz w:val="16"/>
                <w:szCs w:val="16"/>
                <w:color w:val="auto"/>
              </w:rPr>
              <w:t>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(605)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ind w:left="140"/>
              <w:spacing w:after="0"/>
              <w:rPr>
                <w:sz w:val="20"/>
                <w:szCs w:val="20"/>
                <w:color w:val="auto"/>
              </w:rPr>
            </w:pPr>
            <w:r>
              <w:rPr>
                <w:rFonts w:ascii="Arial" w:cs="Arial" w:eastAsia="Arial" w:hAnsi="Arial"/>
                <w:sz w:val="16"/>
                <w:szCs w:val="16"/>
                <w:color w:val="auto"/>
              </w:rPr>
              <w:t>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3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20"/>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December 31, 2016, a total of 49 contracts were offsetting our exposures from the euro, Canadian dollar, Indonesian Rupiah, South African rand, Indian Rupee, Chinese Yuan, and various other currencies, with notional amounts ranging from $120,000 to $42.3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68"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color w:val="auto"/>
        </w:rPr>
        <w:t>The before-tax effects of our derivatives not designated as hedging instruments on the Consolidated Statements of Operations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are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Derivatives Not Designated as Hedging</w:t>
            </w: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3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 under ASC 815</w:t>
            </w:r>
          </w:p>
        </w:tc>
        <w:tc>
          <w:tcPr>
            <w:tcW w:w="2520" w:type="dxa"/>
            <w:vAlign w:val="bottom"/>
            <w:gridSpan w:val="2"/>
          </w:tcPr>
          <w:p>
            <w:pPr>
              <w:ind w:left="900"/>
              <w:spacing w:after="0"/>
              <w:rPr>
                <w:sz w:val="20"/>
                <w:szCs w:val="20"/>
                <w:color w:val="auto"/>
              </w:rPr>
            </w:pPr>
            <w:r>
              <w:rPr>
                <w:rFonts w:ascii="Arial" w:cs="Arial" w:eastAsia="Arial" w:hAnsi="Arial"/>
                <w:sz w:val="16"/>
                <w:szCs w:val="16"/>
                <w:b w:val="1"/>
                <w:bCs w:val="1"/>
                <w:color w:val="auto"/>
              </w:rPr>
              <w:t>Location</w:t>
            </w:r>
          </w:p>
        </w:tc>
        <w:tc>
          <w:tcPr>
            <w:tcW w:w="420" w:type="dxa"/>
            <w:vAlign w:val="bottom"/>
          </w:tcPr>
          <w:p>
            <w:pPr>
              <w:spacing w:after="0"/>
              <w:rPr>
                <w:sz w:val="18"/>
                <w:szCs w:val="18"/>
                <w:color w:val="auto"/>
              </w:rPr>
            </w:pPr>
          </w:p>
        </w:tc>
        <w:tc>
          <w:tcPr>
            <w:tcW w:w="492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auto"/>
                <w:w w:val="91"/>
              </w:rPr>
              <w:t>Gain (Loss) Recognized in Income on Derivative</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20"/>
                <w:szCs w:val="20"/>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2015</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center"/>
              <w:ind w:right="199"/>
              <w:spacing w:after="0"/>
              <w:rPr>
                <w:sz w:val="20"/>
                <w:szCs w:val="20"/>
                <w:color w:val="auto"/>
              </w:rPr>
            </w:pPr>
            <w:r>
              <w:rPr>
                <w:rFonts w:ascii="Arial" w:cs="Arial" w:eastAsia="Arial" w:hAnsi="Arial"/>
                <w:sz w:val="16"/>
                <w:szCs w:val="16"/>
                <w:b w:val="1"/>
                <w:bCs w:val="1"/>
                <w:color w:val="auto"/>
                <w:w w:val="88"/>
              </w:rPr>
              <w:t>(in thousands)</w:t>
            </w: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(3,145)</w:t>
            </w:r>
          </w:p>
        </w:tc>
        <w:tc>
          <w:tcPr>
            <w:tcW w:w="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(5,248)</w:t>
            </w: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Interest rate cap contracts</w:t>
            </w:r>
          </w:p>
        </w:tc>
        <w:tc>
          <w:tcPr>
            <w:tcW w:w="25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22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funding policy for these qualified pension plans is to contribute amounts sufficient to satisfy regulatory funding standards of the respective countries for each plan. Our contributions for both funded and unfunded plans are paid from cash flows from our operations. The timing of when contributions are made can vary by plan and from year to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660" w:type="dxa"/>
            <w:vAlign w:val="bottom"/>
          </w:tcPr>
          <w:p>
            <w:pPr>
              <w:spacing w:after="0"/>
              <w:rPr>
                <w:sz w:val="18"/>
                <w:szCs w:val="18"/>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47"/>
        </w:trPr>
        <w:tc>
          <w:tcPr>
            <w:tcW w:w="7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obligation at January 1,</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98,767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116,178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Service cost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3,472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4,572</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cost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2,380</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Actuarial (gain) loss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7,733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(5,211)</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Benefits paid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(4,386)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(12,190)</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Curtailment</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Settlement</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Benefit obligation at December 31,</w:t>
            </w:r>
          </w:p>
        </w:tc>
        <w:tc>
          <w:tcPr>
            <w:tcW w:w="1080" w:type="dxa"/>
            <w:vAlign w:val="bottom"/>
            <w:tcBorders>
              <w:top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97,261</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98,767</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79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of plan assets at January 1,</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Actual return on plan assets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159</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Company contributions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Benefits paid</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exchange rate changes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(1,621)</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plan assets at December 31,</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10,215</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9,662</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pension benefit obligation at fair value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87,046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89,105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8"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Amounts recognized on the Consolidated Balance Sheets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Plan assets in 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Liabilities</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Current portion of pension benefit obligation in wages and benefits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Long-term portion of pension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benefit obligation,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(in thousands)</w:t>
      </w:r>
    </w:p>
    <w:p>
      <w:pPr>
        <w:spacing w:after="0" w:line="360" w:lineRule="exact"/>
        <w:rPr>
          <w:sz w:val="20"/>
          <w:szCs w:val="20"/>
          <w:color w:val="auto"/>
        </w:rPr>
      </w:pPr>
    </w:p>
    <w:p>
      <w:pPr>
        <w:spacing w:after="0"/>
        <w:tabs>
          <w:tab w:leader="none" w:pos="1320" w:val="left"/>
          <w:tab w:leader="none" w:pos="1820" w:val="left"/>
          <w:tab w:leader="none" w:pos="31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654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359</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220"/>
        <w:spacing w:after="0"/>
        <w:tabs>
          <w:tab w:leader="none" w:pos="3000" w:val="left"/>
        </w:tabs>
        <w:rPr>
          <w:sz w:val="20"/>
          <w:szCs w:val="20"/>
          <w:color w:val="auto"/>
        </w:rPr>
      </w:pPr>
      <w:r>
        <w:rPr>
          <w:rFonts w:ascii="Arial" w:cs="Arial" w:eastAsia="Arial" w:hAnsi="Arial"/>
          <w:sz w:val="16"/>
          <w:szCs w:val="16"/>
          <w:color w:val="auto"/>
        </w:rPr>
        <w:t>3,202</w:t>
      </w:r>
      <w:r>
        <w:rPr>
          <w:sz w:val="20"/>
          <w:szCs w:val="20"/>
          <w:color w:val="auto"/>
        </w:rPr>
        <w:tab/>
      </w:r>
      <w:r>
        <w:rPr>
          <w:rFonts w:ascii="Arial" w:cs="Arial" w:eastAsia="Arial" w:hAnsi="Arial"/>
          <w:sz w:val="16"/>
          <w:szCs w:val="16"/>
          <w:color w:val="auto"/>
        </w:rPr>
        <w:t>3,493</w:t>
      </w:r>
    </w:p>
    <w:p>
      <w:pPr>
        <w:spacing w:after="0" w:line="86" w:lineRule="exact"/>
        <w:rPr>
          <w:sz w:val="20"/>
          <w:szCs w:val="20"/>
          <w:color w:val="auto"/>
        </w:rPr>
      </w:pPr>
    </w:p>
    <w:p>
      <w:pPr>
        <w:jc w:val="both"/>
        <w:ind w:left="1140"/>
        <w:spacing w:after="0"/>
        <w:tabs>
          <w:tab w:leader="none" w:pos="2920" w:val="left"/>
        </w:tabs>
        <w:rPr>
          <w:sz w:val="20"/>
          <w:szCs w:val="20"/>
          <w:color w:val="auto"/>
        </w:rPr>
      </w:pPr>
      <w:r>
        <w:rPr>
          <w:rFonts w:ascii="Arial" w:cs="Arial" w:eastAsia="Arial" w:hAnsi="Arial"/>
          <w:sz w:val="16"/>
          <w:szCs w:val="16"/>
          <w:color w:val="auto"/>
        </w:rPr>
        <w:t>84,498</w:t>
      </w:r>
      <w:r>
        <w:rPr>
          <w:sz w:val="20"/>
          <w:szCs w:val="20"/>
          <w:color w:val="auto"/>
        </w:rPr>
        <w:tab/>
      </w:r>
      <w:r>
        <w:rPr>
          <w:rFonts w:ascii="Arial" w:cs="Arial" w:eastAsia="Arial" w:hAnsi="Arial"/>
          <w:sz w:val="16"/>
          <w:szCs w:val="16"/>
          <w:color w:val="auto"/>
        </w:rPr>
        <w:t>85,971</w:t>
      </w:r>
    </w:p>
    <w:p>
      <w:pPr>
        <w:spacing w:after="0" w:line="35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87,046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89,105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52070</wp:posOffset>
            </wp:positionV>
            <wp:extent cx="22383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0" w:space="720"/>
            <w:col w:w="3500"/>
          </w:cols>
          <w:pgMar w:left="240" w:top="368" w:right="23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Amounts in AOCI (pre-tax) that have not yet been recognized as components of net periodic benefit costs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8"/>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loss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26,767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24,687</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Net prior service cost</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Amount included in AOCI</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25,393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in OCI (pre-tax) are as follows: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actuarial (gain)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Settlement/curtailment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asset (gain) loss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net actuarial loss</w:t>
            </w:r>
          </w:p>
        </w:tc>
        <w:tc>
          <w:tcPr>
            <w:tcW w:w="1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(572)</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cost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comprehensive (income) loss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25,270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actuarial gains and losses exceed ten percent of the greater of plan assets or plan liabilities, we amortize them over the employees' average future service period. The estimated net actuarial loss and prior service cost that will be amortized from AOCI into net periodic benefit cost during 2017 is $1.6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3,472</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2,380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3,476</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prior service costs</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pension benefit costs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7,181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368" w:right="239" w:bottom="1440" w:gutter="0" w:footer="0" w:header="0"/>
          <w:type w:val="continuous"/>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Actuarial assumptions used to determine benefit obligations at end of period:</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Expected annual rate of compensation increase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Actuarial assumptions used to determine net periodic benefit cost for the period: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Discount rate</w:t>
      </w:r>
    </w:p>
    <w:p>
      <w:pPr>
        <w:spacing w:after="0" w:line="86" w:lineRule="exact"/>
        <w:rPr>
          <w:sz w:val="20"/>
          <w:szCs w:val="20"/>
          <w:color w:val="auto"/>
        </w:rPr>
      </w:pPr>
    </w:p>
    <w:p>
      <w:pPr>
        <w:ind w:left="380" w:right="1820"/>
        <w:spacing w:after="0" w:line="470" w:lineRule="auto"/>
        <w:rPr>
          <w:sz w:val="20"/>
          <w:szCs w:val="20"/>
          <w:color w:val="auto"/>
        </w:rPr>
      </w:pPr>
      <w:r>
        <w:rPr>
          <w:rFonts w:ascii="Arial" w:cs="Arial" w:eastAsia="Arial" w:hAnsi="Arial"/>
          <w:sz w:val="14"/>
          <w:szCs w:val="14"/>
          <w:color w:val="auto"/>
        </w:rPr>
        <w:t>Expected rate of return on plan assets Expected annual rate of compensation increase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37465</wp:posOffset>
            </wp:positionV>
            <wp:extent cx="34563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r>
      <w:tr>
        <w:trPr>
          <w:trHeight w:val="33"/>
        </w:trPr>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501"/>
        </w:trPr>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540"/>
        </w:trPr>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70"/>
        </w:trPr>
        <w:tc>
          <w:tcPr>
            <w:tcW w:w="11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-1007745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-664210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-321310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5260" w:space="720"/>
            <w:col w:w="5440"/>
          </w:cols>
          <w:pgMar w:left="240" w:top="368"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our euro denominated defined benefit pension plans, which represent 94% of our benefit obligation, we use two discount rates, with consideration of the duration of the plans, using a hypothetical yield curve developed from euro-denominated AA-rated corporate bond issues, partially weighted for market value, with minimum amounts outstanding of €500 million for bonds with less than 10 years to maturity and €50 million for bonds with 10 or more years to maturity, and excluding the highest and lowest yielding 10% of bonds within each maturity group. The discount rates used, depending on the duration of the plans, were 0.75% and 1.75%. The weighted average discount rate used to measure our benefit obligations, increased by 41 basis points from December 31, 2015 to December 31, 2016, driving a $7.7 million actuarial gain during 2016, which is recognized in OCI.</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$87.2 million and $89.0 million at December 31, 2016 and 2015,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obligations and fair value of plan assets for plans with projected benefit obligations and accumulated benefit obligations exceeding the fair value of plan assets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At December 31,</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08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94,110</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95,814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Accumulated benefit obligation</w:t>
            </w:r>
          </w:p>
        </w:tc>
        <w:tc>
          <w:tcPr>
            <w:tcW w:w="1080" w:type="dxa"/>
            <w:vAlign w:val="bottom"/>
          </w:tcPr>
          <w:p>
            <w:pPr>
              <w:spacing w:after="0"/>
              <w:rPr>
                <w:sz w:val="20"/>
                <w:szCs w:val="20"/>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84,448</w:t>
            </w:r>
          </w:p>
        </w:tc>
        <w:tc>
          <w:tcPr>
            <w:tcW w:w="7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86,534</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plan assets</w:t>
            </w:r>
          </w:p>
        </w:tc>
        <w:tc>
          <w:tcPr>
            <w:tcW w:w="10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6,410</w:t>
            </w:r>
          </w:p>
        </w:tc>
        <w:tc>
          <w:tcPr>
            <w:tcW w:w="7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6,502</w:t>
            </w:r>
          </w:p>
        </w:tc>
      </w:tr>
      <w:tr>
        <w:trPr>
          <w:trHeight w:val="33"/>
        </w:trPr>
        <w:tc>
          <w:tcPr>
            <w:tcW w:w="7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368" w:right="2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Quoted Prices in Active</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Markets for Identical</w:t>
            </w:r>
          </w:p>
        </w:tc>
        <w:tc>
          <w:tcPr>
            <w:tcW w:w="10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6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7"/>
                <w:szCs w:val="17"/>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Unobservable Inputs</w:t>
            </w:r>
          </w:p>
        </w:tc>
      </w:t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Pr>
          <w:p>
            <w:pPr>
              <w:spacing w:after="0"/>
              <w:rPr>
                <w:sz w:val="18"/>
                <w:szCs w:val="18"/>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60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2016</w:t>
            </w: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7,011</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2,421</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10,215</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9,432</w:t>
            </w:r>
          </w:p>
        </w:tc>
      </w:tr>
      <w:tr>
        <w:trPr>
          <w:trHeight w:val="73"/>
        </w:trPr>
        <w:tc>
          <w:tcPr>
            <w:tcW w:w="6060" w:type="dxa"/>
            <w:vAlign w:val="bottom"/>
            <w:tcBorders>
              <w:bottom w:val="single" w:sz="8" w:color="CCEEFF"/>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37"/>
        </w:trPr>
        <w:tc>
          <w:tcPr>
            <w:tcW w:w="6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2015</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Insurance funds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7,089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7,089</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securities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1,778</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fair value of plan assets</w:t>
            </w:r>
          </w:p>
        </w:tc>
        <w:tc>
          <w:tcPr>
            <w:tcW w:w="1100" w:type="dxa"/>
            <w:vAlign w:val="bottom"/>
            <w:tcBorders>
              <w:top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9,662</w:t>
            </w:r>
          </w:p>
        </w:tc>
        <w:tc>
          <w:tcPr>
            <w:tcW w:w="12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8,867</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2016 and 2015.</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2,421</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9,432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Net Purchases,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Issuances,</w:t>
            </w: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 at January</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Realized and</w:t>
            </w: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Settlements, and</w:t>
            </w: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Net Transfers Into</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Effect of Foreign</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Balance at</w:t>
            </w:r>
          </w:p>
        </w:tc>
      </w:tr>
      <w:tr>
        <w:trPr>
          <w:trHeight w:val="210"/>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1, 2015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6"/>
                <w:szCs w:val="16"/>
                <w:b w:val="1"/>
                <w:bCs w:val="1"/>
                <w:color w:val="auto"/>
              </w:rPr>
              <w:t>Unrealized Gains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20" w:type="dxa"/>
            <w:vAlign w:val="bottom"/>
          </w:tcPr>
          <w:p>
            <w:pPr>
              <w:spacing w:after="0"/>
              <w:rPr>
                <w:sz w:val="18"/>
                <w:szCs w:val="18"/>
                <w:color w:val="auto"/>
              </w:rPr>
            </w:pPr>
          </w:p>
        </w:tc>
        <w:tc>
          <w:tcPr>
            <w:tcW w:w="1160" w:type="dxa"/>
            <w:vAlign w:val="bottom"/>
            <w:gridSpan w:val="2"/>
          </w:tcPr>
          <w:p>
            <w:pPr>
              <w:jc w:val="center"/>
              <w:ind w:right="540"/>
              <w:spacing w:after="0"/>
              <w:rPr>
                <w:sz w:val="20"/>
                <w:szCs w:val="20"/>
                <w:color w:val="auto"/>
              </w:rPr>
            </w:pPr>
            <w:r>
              <w:rPr>
                <w:rFonts w:ascii="Arial" w:cs="Arial" w:eastAsia="Arial" w:hAnsi="Arial"/>
                <w:sz w:val="16"/>
                <w:szCs w:val="16"/>
                <w:b w:val="1"/>
                <w:bCs w:val="1"/>
                <w:color w:val="auto"/>
                <w:w w:val="92"/>
              </w:rPr>
              <w:t>Level 3</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Currency</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 2015</w:t>
            </w:r>
          </w:p>
        </w:tc>
      </w:tr>
      <w:tr>
        <w:trPr>
          <w:trHeight w:val="33"/>
        </w:trPr>
        <w:tc>
          <w:tcPr>
            <w:tcW w:w="1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 funds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7,089</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Other securities</w:t>
            </w:r>
          </w:p>
        </w:tc>
        <w:tc>
          <w:tcPr>
            <w:tcW w:w="30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1,778</w:t>
            </w:r>
          </w:p>
        </w:tc>
      </w:tr>
      <w:tr>
        <w:trPr>
          <w:trHeight w:val="33"/>
        </w:trPr>
        <w:tc>
          <w:tcPr>
            <w:tcW w:w="1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1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8,867</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and contributions are not significant to our total company assets, no further breakdown is provided.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33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9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Annual Benefit</w:t>
            </w:r>
          </w:p>
        </w:tc>
      </w:tr>
      <w:tr>
        <w:trPr>
          <w:trHeight w:val="210"/>
        </w:trPr>
        <w:tc>
          <w:tcPr>
            <w:tcW w:w="990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Payments</w:t>
            </w:r>
          </w:p>
        </w:tc>
      </w:tr>
      <w:tr>
        <w:trPr>
          <w:trHeight w:val="33"/>
        </w:trPr>
        <w:tc>
          <w:tcPr>
            <w:tcW w:w="9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9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3,655</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2,662</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3,285</w:t>
            </w:r>
          </w:p>
        </w:tc>
      </w:tr>
      <w:tr>
        <w:trPr>
          <w:trHeight w:val="33"/>
        </w:trPr>
        <w:tc>
          <w:tcPr>
            <w:tcW w:w="9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3,918</w:t>
            </w:r>
          </w:p>
        </w:tc>
      </w:tr>
      <w:tr>
        <w:trPr>
          <w:trHeight w:val="237"/>
        </w:trPr>
        <w:tc>
          <w:tcPr>
            <w:tcW w:w="9800" w:type="dxa"/>
            <w:vAlign w:val="bottom"/>
          </w:tcPr>
          <w:p>
            <w:pPr>
              <w:ind w:left="20"/>
              <w:spacing w:after="0"/>
              <w:rPr>
                <w:sz w:val="20"/>
                <w:szCs w:val="20"/>
                <w:color w:val="auto"/>
              </w:rPr>
            </w:pPr>
            <w:r>
              <w:rPr>
                <w:rFonts w:ascii="Arial" w:cs="Arial" w:eastAsia="Arial" w:hAnsi="Arial"/>
                <w:sz w:val="16"/>
                <w:szCs w:val="16"/>
                <w:color w:val="auto"/>
              </w:rPr>
              <w:t>2022-2026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22,929</w:t>
            </w: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68" w:right="239" w:bottom="1440" w:gutter="0" w:footer="0" w:header="0"/>
          <w:type w:val="continuous"/>
        </w:sectPr>
      </w:pPr>
    </w:p>
    <w:bookmarkStart w:id="70" w:name="page71"/>
    <w:bookmarkEnd w:id="70"/>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stock-based compensation expense for awards of stock options, and the issuance of restricted stock units and unrestricted stock awards. We expense stock-based compensation primarily using the straight-line method over the requisite service period. For the years ended December 31, stock-based compensation expense and the related tax benefit were as follows</w:t>
      </w:r>
      <w:r>
        <w:rPr>
          <w:rFonts w:ascii="Arial" w:cs="Arial" w:eastAsia="Arial" w:hAnsi="Arial"/>
          <w:sz w:val="16"/>
          <w:szCs w:val="16"/>
          <w:color w:val="auto"/>
        </w:rPr>
        <w: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14,723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10,735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14,591</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19,112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stock splits, dividends, and other similar events, 7,473,956 shares of common stock are reserved and authorized for issuance under our 2010 Stock Incentive Plan (Stock Incentive Plan). Awards consist of stock options, restricted stock units, and unrestricted stock awards. At December 31, 2016, 2,092,602 shares were available for grant under the Stock Incentive Plan. The Stock Incentive Plan shares are subject to a fungible share provision such that, with respect to grants made after December 31, 2009, the authorized share reserve is reduced by (i) one share for every one share subject to a stock option or share appreciation right granted under the Plan and (ii) 1.7 shares for every one share of common stock that was subject to an award other than an option or stock appreciation right.</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Options to purchase our common stock are granted to certain employees, senior management, and members of our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130"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37465</wp:posOffset>
            </wp:positionV>
            <wp:extent cx="3456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gridSpan w:val="2"/>
          </w:tcPr>
          <w:p>
            <w:pPr>
              <w:ind w:left="6680"/>
              <w:spacing w:after="0"/>
              <w:rPr>
                <w:sz w:val="20"/>
                <w:szCs w:val="20"/>
                <w:color w:val="auto"/>
              </w:rPr>
            </w:pPr>
            <w:r>
              <w:rPr>
                <w:rFonts w:ascii="Arial" w:cs="Arial" w:eastAsia="Arial" w:hAnsi="Arial"/>
                <w:sz w:val="16"/>
                <w:szCs w:val="16"/>
                <w:b w:val="1"/>
                <w:bCs w:val="1"/>
                <w:color w:val="auto"/>
              </w:rPr>
              <w:t>2016</w:t>
            </w:r>
          </w:p>
        </w:tc>
        <w:tc>
          <w:tcPr>
            <w:tcW w:w="1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2014</w:t>
            </w:r>
          </w:p>
        </w:tc>
      </w:tr>
      <w:tr>
        <w:trPr>
          <w:trHeight w:val="33"/>
        </w:trPr>
        <w:tc>
          <w:tcPr>
            <w:tcW w:w="5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860" w:type="dxa"/>
            <w:vAlign w:val="bottom"/>
            <w:tcBorders>
              <w:bottom w:val="single" w:sz="8" w:color="CCEEFF"/>
            </w:tcBorders>
            <w:gridSpan w:val="3"/>
            <w:shd w:val="clear" w:color="auto" w:fill="CCEEFF"/>
          </w:tcPr>
          <w:p>
            <w:pPr>
              <w:jc w:val="right"/>
              <w:ind w:right="14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Expected volatility</w:t>
            </w:r>
          </w:p>
        </w:tc>
        <w:tc>
          <w:tcPr>
            <w:tcW w:w="580" w:type="dxa"/>
            <w:vAlign w:val="bottom"/>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34.3%</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33"/>
        </w:trPr>
        <w:tc>
          <w:tcPr>
            <w:tcW w:w="5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6"/>
                <w:szCs w:val="16"/>
                <w:color w:val="auto"/>
              </w:rPr>
              <w:t>Expected term (years)</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740" w:type="dxa"/>
            <w:vAlign w:val="bottom"/>
          </w:tcPr>
          <w:p>
            <w:pPr>
              <w:jc w:val="right"/>
              <w:ind w:right="79"/>
              <w:spacing w:after="0"/>
              <w:rPr>
                <w:sz w:val="20"/>
                <w:szCs w:val="20"/>
                <w:color w:val="auto"/>
              </w:rPr>
            </w:pPr>
            <w:r>
              <w:rPr>
                <w:rFonts w:ascii="Arial" w:cs="Arial" w:eastAsia="Arial" w:hAnsi="Arial"/>
                <w:sz w:val="16"/>
                <w:szCs w:val="16"/>
                <w:color w:val="auto"/>
              </w:rPr>
              <w:t>5.5</w:t>
            </w:r>
          </w:p>
        </w:tc>
      </w:tr>
    </w:tbl>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the historical volatility of our common stock and the implied volatility of our traded options for the related expected term. We believe this combined approach is reflective of current and historical market conditions and is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estimated date the award will be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63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 Exercise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60" w:type="dxa"/>
            <w:vAlign w:val="bottom"/>
          </w:tcPr>
          <w:p>
            <w:pPr>
              <w:spacing w:after="0"/>
              <w:rPr>
                <w:sz w:val="17"/>
                <w:szCs w:val="17"/>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Average Grant</w:t>
            </w:r>
          </w:p>
        </w:tc>
      </w:tr>
      <w:tr>
        <w:trPr>
          <w:trHeight w:val="243"/>
        </w:trPr>
        <w:tc>
          <w:tcPr>
            <w:tcW w:w="308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1"/>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Date Fair Value</w:t>
            </w:r>
          </w:p>
        </w:tc>
      </w:tr>
      <w:tr>
        <w:trPr>
          <w:trHeight w:val="231"/>
        </w:trPr>
        <w:tc>
          <w:tcPr>
            <w:tcW w:w="308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(years)</w:t>
            </w:r>
          </w:p>
        </w:tc>
        <w:tc>
          <w:tcPr>
            <w:tcW w:w="160" w:type="dxa"/>
            <w:vAlign w:val="bottom"/>
          </w:tcPr>
          <w:p>
            <w:pPr>
              <w:spacing w:after="0"/>
              <w:rPr>
                <w:sz w:val="20"/>
                <w:szCs w:val="20"/>
                <w:color w:val="auto"/>
              </w:rPr>
            </w:pPr>
          </w:p>
        </w:tc>
        <w:tc>
          <w:tcPr>
            <w:tcW w:w="172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(in thousands)</w:t>
            </w: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1"/>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35.65</w:t>
            </w:r>
          </w:p>
        </w:tc>
        <w:tc>
          <w:tcPr>
            <w:tcW w:w="12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13.65</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44.06</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68.97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080" w:type="dxa"/>
            <w:vAlign w:val="bottom"/>
          </w:tcPr>
          <w:p>
            <w:pPr>
              <w:ind w:left="40"/>
              <w:spacing w:after="0"/>
              <w:rPr>
                <w:sz w:val="20"/>
                <w:szCs w:val="20"/>
                <w:color w:val="auto"/>
              </w:rPr>
            </w:pPr>
            <w:r>
              <w:rPr>
                <w:rFonts w:ascii="Arial" w:cs="Arial" w:eastAsia="Arial" w:hAnsi="Arial"/>
                <w:sz w:val="16"/>
                <w:szCs w:val="16"/>
                <w:color w:val="auto"/>
              </w:rPr>
              <w:t>Outstanding, December 31, 2014</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51.90</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35.25</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12.09</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36.05</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080" w:type="dxa"/>
            <w:vAlign w:val="bottom"/>
          </w:tcPr>
          <w:p>
            <w:pPr>
              <w:ind w:left="40"/>
              <w:spacing w:after="0"/>
              <w:rPr>
                <w:sz w:val="20"/>
                <w:szCs w:val="20"/>
                <w:color w:val="auto"/>
              </w:rPr>
            </w:pPr>
            <w:r>
              <w:rPr>
                <w:rFonts w:ascii="Arial" w:cs="Arial" w:eastAsia="Arial" w:hAnsi="Arial"/>
                <w:sz w:val="16"/>
                <w:szCs w:val="16"/>
                <w:color w:val="auto"/>
              </w:rPr>
              <w:t>Outstanding, December 31, 2015</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48.31</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4"/>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40.40</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13.27</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37.00</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08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55.13</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84"/>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December 31, 2016</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45.64</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19,125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90"/>
        </w:trPr>
        <w:tc>
          <w:tcPr>
            <w:tcW w:w="3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Exercisable, December 31, 2016</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51.18</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r>
      <w:tr>
        <w:trPr>
          <w:trHeight w:val="257"/>
        </w:trPr>
        <w:tc>
          <w:tcPr>
            <w:tcW w:w="30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3080" w:type="dxa"/>
            <w:vAlign w:val="bottom"/>
          </w:tcPr>
          <w:p>
            <w:pPr>
              <w:ind w:left="40"/>
              <w:spacing w:after="0"/>
              <w:rPr>
                <w:sz w:val="20"/>
                <w:szCs w:val="20"/>
                <w:color w:val="auto"/>
              </w:rPr>
            </w:pPr>
            <w:r>
              <w:rPr>
                <w:rFonts w:ascii="Arial" w:cs="Arial" w:eastAsia="Arial" w:hAnsi="Arial"/>
                <w:sz w:val="16"/>
                <w:szCs w:val="16"/>
                <w:color w:val="auto"/>
              </w:rPr>
              <w:t>Expected to vest, December 31, 2016</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37.76</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3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45"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2016, total unrecognized stock-based compensation expense related to nonvested stock options was $3.2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senior management, and members of our Board of Directors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2013, the performance-based restricted stock units that were awarded under the Performance Award Agreement were determined based on (1) our achievement of specified non-GAAP EPS targets, as established at the beginning of each year for each of the calendar years contained in the performance periods (2-year and 3-year awards) (the performance condition) and (2) our total shareholder return (TSR) relative to the TSR attained by companies that are included in the Russell 3000 Index during the performance periods (the market condition). Compensation expense, net of forfeitures, was recognized on a straight-line basis, and the units vest upon achievement of the performance condition, provided participants are employed by Itron at the end of the respective performance periods.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368" w:right="239" w:bottom="1440" w:gutter="0" w:footer="0" w:header="0"/>
          <w:type w:val="continuous"/>
        </w:sectPr>
      </w:pPr>
    </w:p>
    <w:bookmarkStart w:id="72" w:name="page73"/>
    <w:bookmarkEnd w:id="72"/>
    <w:p>
      <w:pPr>
        <w:jc w:val="both"/>
        <w:spacing w:after="0" w:line="293" w:lineRule="auto"/>
        <w:rPr>
          <w:sz w:val="20"/>
          <w:szCs w:val="20"/>
          <w:color w:val="auto"/>
        </w:rPr>
      </w:pPr>
      <w:r>
        <w:rPr>
          <w:rFonts w:ascii="Arial" w:cs="Arial" w:eastAsia="Arial" w:hAnsi="Arial"/>
          <w:sz w:val="16"/>
          <w:szCs w:val="16"/>
          <w:color w:val="auto"/>
        </w:rPr>
        <w:t>Depending on the level of achievement of the performance condition, the actual number of shares to be earned ranges between 0% and 160% of the awards originally granted. At the end of the 2-year and 3-year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awards originally granted. For the 2-year awards granted under the 2013 performance award, 14,433 restricted stock units became eligible for distribution at December 31, 2014. For the 3-year awards granted under the 2013 performance award, 15,648 restricted stock units became eligible for distribution at December 31, 2015.</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years subsequent to 2013, the performance-based restricted stock units to be issued are determined based on the same performance and market conditions as the 2013 awards, but the performance period is 3-years. For the 3-year awards granted under the 2014 performance award, 110,259 restricted stock units became eligible for distribution at December 31, 2016. No awards became eligible for distribution under the 2015 and 2016 awards since the performance periods had not concluded as of December 31, 2016.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presence of the TSR multiplier market condition, we utilize a Monte Carlo valuation model to determine the fair value of the awards at the grant date. This pricing model uses multiple simulations to evaluate the probability of our achievement of various stock price levels to determine our expected TSR performance ranking. The weighted-average assumptions used to estimate the fair value of performance-based restricted stock units granted and the resulting weighted average fair-value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gridSpan w:val="4"/>
          </w:tcPr>
          <w:p>
            <w:pPr>
              <w:ind w:left="100"/>
              <w:spacing w:after="0"/>
              <w:rPr>
                <w:sz w:val="20"/>
                <w:szCs w:val="20"/>
                <w:color w:val="auto"/>
              </w:rPr>
            </w:pPr>
            <w:r>
              <w:rPr>
                <w:rFonts w:ascii="Arial" w:cs="Arial" w:eastAsia="Arial" w:hAnsi="Arial"/>
                <w:sz w:val="16"/>
                <w:szCs w:val="16"/>
                <w:b w:val="1"/>
                <w:bCs w:val="1"/>
                <w:color w:val="auto"/>
                <w:w w:val="93"/>
              </w:rPr>
              <w:t>Year Ended December 31,</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2014</w:t>
            </w:r>
          </w:p>
        </w:tc>
      </w:tr>
      <w:tr>
        <w:trPr>
          <w:trHeight w:val="33"/>
        </w:trPr>
        <w:tc>
          <w:tcPr>
            <w:tcW w:w="59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33"/>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Expected term (years)</w:t>
            </w:r>
          </w:p>
        </w:tc>
        <w:tc>
          <w:tcPr>
            <w:tcW w:w="1120" w:type="dxa"/>
            <w:vAlign w:val="bottom"/>
          </w:tcPr>
          <w:p>
            <w:pPr>
              <w:spacing w:after="0"/>
              <w:rPr>
                <w:sz w:val="20"/>
                <w:szCs w:val="20"/>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2.0</w:t>
            </w:r>
          </w:p>
        </w:tc>
      </w:tr>
      <w:tr>
        <w:trPr>
          <w:trHeight w:val="33"/>
        </w:trPr>
        <w:tc>
          <w:tcPr>
            <w:tcW w:w="5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9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Weighted-average grant date fair value</w:t>
            </w: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44.92</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33.48</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35.15</w:t>
            </w:r>
          </w:p>
        </w:tc>
      </w:tr>
    </w:tbl>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6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The following table summarizes restricted stock unit activity for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1"/>
              </w:rPr>
              <w:t>Weighted</w:t>
            </w: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80" w:type="dxa"/>
            <w:vAlign w:val="bottom"/>
          </w:tcPr>
          <w:p>
            <w:pPr>
              <w:jc w:val="center"/>
              <w:ind w:left="359"/>
              <w:spacing w:after="0"/>
              <w:rPr>
                <w:sz w:val="20"/>
                <w:szCs w:val="20"/>
                <w:color w:val="auto"/>
              </w:rPr>
            </w:pPr>
            <w:r>
              <w:rPr>
                <w:rFonts w:ascii="Arial" w:cs="Arial" w:eastAsia="Arial" w:hAnsi="Arial"/>
                <w:sz w:val="16"/>
                <w:szCs w:val="16"/>
                <w:b w:val="1"/>
                <w:bCs w:val="1"/>
                <w:color w:val="auto"/>
                <w:w w:val="94"/>
              </w:rPr>
              <w:t>Number of</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2"/>
              </w:rPr>
              <w:t>Average Grant</w:t>
            </w: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606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3"/>
              </w:rPr>
              <w:t>Date Fair Value</w:t>
            </w:r>
          </w:p>
        </w:tc>
        <w:tc>
          <w:tcPr>
            <w:tcW w:w="150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7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2014</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35.74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14,402</w:t>
            </w: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2014</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(3)</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Pr>
          <w:p>
            <w:pPr>
              <w:jc w:val="right"/>
              <w:spacing w:after="0"/>
              <w:rPr>
                <w:sz w:val="20"/>
                <w:szCs w:val="20"/>
                <w:color w:val="auto"/>
              </w:rPr>
            </w:pPr>
            <w:r>
              <w:rPr>
                <w:rFonts w:ascii="Arial" w:cs="Arial" w:eastAsia="Arial" w:hAnsi="Arial"/>
                <w:sz w:val="16"/>
                <w:szCs w:val="16"/>
                <w:color w:val="auto"/>
                <w:w w:val="96"/>
              </w:rPr>
              <w:t>(296)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12,204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2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Outstanding, December 31, 2015</w:t>
            </w:r>
          </w:p>
        </w:tc>
        <w:tc>
          <w:tcPr>
            <w:tcW w:w="12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340" w:type="dxa"/>
            <w:vAlign w:val="bottom"/>
            <w:gridSpan w:val="2"/>
            <w:vMerge w:val="restart"/>
          </w:tcPr>
          <w:p>
            <w:pPr>
              <w:ind w:left="38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(4)</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0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11,944</w:t>
            </w:r>
          </w:p>
        </w:tc>
        <w:tc>
          <w:tcPr>
            <w:tcW w:w="0" w:type="dxa"/>
            <w:vAlign w:val="bottom"/>
          </w:tcPr>
          <w:p>
            <w:pPr>
              <w:spacing w:after="0"/>
              <w:rPr>
                <w:sz w:val="1"/>
                <w:szCs w:val="1"/>
                <w:color w:val="auto"/>
              </w:rPr>
            </w:pPr>
          </w:p>
        </w:tc>
      </w:tr>
      <w:tr>
        <w:trPr>
          <w:trHeight w:val="224"/>
        </w:trPr>
        <w:tc>
          <w:tcPr>
            <w:tcW w:w="734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 but not released, December 31, 2016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7,242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2016</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71"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Restricted stock units include 14,433 shares for the 2-year award under the 2013 Performance Award Agreement, which are eligible for distribution at December 31, 2014.</w:t>
      </w:r>
    </w:p>
    <w:p>
      <w:pPr>
        <w:spacing w:after="0" w:line="171" w:lineRule="exact"/>
        <w:rPr>
          <w:rFonts w:ascii="Arial" w:cs="Arial" w:eastAsia="Arial" w:hAnsi="Arial"/>
          <w:sz w:val="18"/>
          <w:szCs w:val="18"/>
          <w:color w:val="auto"/>
          <w:vertAlign w:val="superscript"/>
        </w:rPr>
      </w:pPr>
    </w:p>
    <w:p>
      <w:pPr>
        <w:ind w:left="340" w:hanging="332"/>
        <w:spacing w:after="0"/>
        <w:tabs>
          <w:tab w:leader="none" w:pos="3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Restricted stock units include 15,648 shares for the 3-year award under the 2013 Performance Award Agreement, which are eligible for distribution at December 31, 2015.</w:t>
      </w:r>
    </w:p>
    <w:p>
      <w:pPr>
        <w:spacing w:after="0" w:line="171" w:lineRule="exact"/>
        <w:rPr>
          <w:rFonts w:ascii="Arial" w:cs="Arial" w:eastAsia="Arial" w:hAnsi="Arial"/>
          <w:sz w:val="18"/>
          <w:szCs w:val="18"/>
          <w:color w:val="auto"/>
          <w:vertAlign w:val="superscript"/>
        </w:rPr>
      </w:pPr>
    </w:p>
    <w:p>
      <w:pPr>
        <w:ind w:left="340" w:right="20" w:hanging="332"/>
        <w:spacing w:after="0" w:line="217"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Restricted stock units include 110,259 shares for the 3-year award under the 2014 Performance Award Agreement, which are eligible for distribution at December 31, 2016.</w:t>
      </w:r>
    </w:p>
    <w:p>
      <w:pPr>
        <w:spacing w:after="0" w:line="3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2016, unrecognized compensation expense on restricted stock units was $21.6 million, which is expected to be recognized over a weighted average period of approximately 1.8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grant unrestricted stock awards to members of our Board of Directors as part of their compensation. Awards are fully vested and recognized when granted. The fair value of unrestricted stock awards is the market close price of our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years ended December 31: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18"/>
                <w:szCs w:val="18"/>
                <w:color w:val="auto"/>
              </w:rPr>
            </w:pPr>
          </w:p>
        </w:tc>
        <w:tc>
          <w:tcPr>
            <w:tcW w:w="12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w w:val="98"/>
              </w:rPr>
              <w:t>(in thousands, except per share data)</w:t>
            </w: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granted</w:t>
            </w: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6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 per share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44.94</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35.01</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39.06</w:t>
            </w:r>
          </w:p>
        </w:tc>
      </w:tr>
      <w:tr>
        <w:trPr>
          <w:trHeight w:val="33"/>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Since phantom stock units are settled in cash, compensation expense recognized over the vesting period will vary based on changes in fair value. Fair value is remeasured at the end of each reporting period based on the market close price of our common stock.</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368" w:right="2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2016</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2016</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December 31,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94"/>
              </w:rPr>
              <w:t>Average Grant</w:t>
            </w: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jc w:val="center"/>
              <w:ind w:right="259"/>
              <w:spacing w:after="0"/>
              <w:rPr>
                <w:sz w:val="20"/>
                <w:szCs w:val="20"/>
                <w:color w:val="auto"/>
              </w:rPr>
            </w:pPr>
            <w:r>
              <w:rPr>
                <w:rFonts w:ascii="Arial" w:cs="Arial" w:eastAsia="Arial" w:hAnsi="Arial"/>
                <w:sz w:val="16"/>
                <w:szCs w:val="16"/>
                <w:b w:val="1"/>
                <w:bCs w:val="1"/>
                <w:color w:val="auto"/>
                <w:w w:val="93"/>
              </w:rPr>
              <w:t>Date Fair Value</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40.11</w:t>
            </w: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00" w:type="dxa"/>
            <w:vAlign w:val="bottom"/>
          </w:tcPr>
          <w:p>
            <w:pPr>
              <w:spacing w:after="0"/>
              <w:rPr>
                <w:sz w:val="23"/>
                <w:szCs w:val="23"/>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-1071245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-728345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-376555</wp:posOffset>
            </wp:positionV>
            <wp:extent cx="722947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368" w:right="239" w:bottom="1440" w:gutter="0" w:footer="0" w:header="0"/>
        </w:sectPr>
      </w:pPr>
    </w:p>
    <w:p>
      <w:pPr>
        <w:spacing w:after="0" w:line="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2016, total unrecognized compensation expense on phantom stock units was $2.8 million, which is expected to be recognized over a weighted average period of approximately 2.2 years. We have recognized a phantom stock liability of $1.0 million within wages and benefits payable in the Consolidated Balance Sheets as of December 31, 2016.</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discount from the fair market value of the stock at the end of each fiscal quarter, subject to other limitations under the plan. The sale of the stock to the employees occurs at the beginning of the subsequent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years ended December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6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2016</w:t>
            </w:r>
          </w:p>
        </w:tc>
        <w:tc>
          <w:tcPr>
            <w:tcW w:w="2000" w:type="dxa"/>
            <w:vAlign w:val="bottom"/>
          </w:tcPr>
          <w:p>
            <w:pPr>
              <w:jc w:val="right"/>
              <w:ind w:right="959"/>
              <w:spacing w:after="0"/>
              <w:rPr>
                <w:sz w:val="20"/>
                <w:szCs w:val="20"/>
                <w:color w:val="auto"/>
              </w:rPr>
            </w:pPr>
            <w:r>
              <w:rPr>
                <w:rFonts w:ascii="Arial" w:cs="Arial" w:eastAsia="Arial" w:hAnsi="Arial"/>
                <w:sz w:val="16"/>
                <w:szCs w:val="16"/>
                <w:b w:val="1"/>
                <w:bCs w:val="1"/>
                <w:color w:val="auto"/>
              </w:rPr>
              <w:t>2015</w:t>
            </w:r>
          </w:p>
        </w:tc>
        <w:tc>
          <w:tcPr>
            <w:tcW w:w="14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(in thousands)</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7960" w:type="dxa"/>
            <w:vAlign w:val="bottom"/>
            <w:gridSpan w:val="2"/>
            <w:shd w:val="clear" w:color="auto" w:fill="CCEEFF"/>
          </w:tcPr>
          <w:p>
            <w:pPr>
              <w:jc w:val="right"/>
              <w:ind w:right="5600"/>
              <w:spacing w:after="0"/>
              <w:rPr>
                <w:sz w:val="20"/>
                <w:szCs w:val="20"/>
                <w:color w:val="auto"/>
              </w:rPr>
            </w:pPr>
            <w:r>
              <w:rPr>
                <w:rFonts w:ascii="Arial" w:cs="Arial" w:eastAsia="Arial" w:hAnsi="Arial"/>
                <w:sz w:val="16"/>
                <w:szCs w:val="16"/>
                <w:color w:val="auto"/>
                <w:w w:val="89"/>
              </w:rPr>
              <w:t>Shares of stock sold to employees</w:t>
            </w:r>
            <w:r>
              <w:rPr>
                <w:rFonts w:ascii="Arial" w:cs="Arial" w:eastAsia="Arial" w:hAnsi="Arial"/>
                <w:sz w:val="21"/>
                <w:szCs w:val="21"/>
                <w:color w:val="auto"/>
                <w:w w:val="89"/>
                <w:vertAlign w:val="superscript"/>
              </w:rPr>
              <w:t>(1)</w:t>
            </w:r>
          </w:p>
        </w:tc>
        <w:tc>
          <w:tcPr>
            <w:tcW w:w="2000" w:type="dxa"/>
            <w:vAlign w:val="bottom"/>
            <w:vMerge w:val="restart"/>
            <w:shd w:val="clear" w:color="auto" w:fill="CCEEFF"/>
          </w:tcPr>
          <w:p>
            <w:pPr>
              <w:jc w:val="right"/>
              <w:ind w:right="379"/>
              <w:spacing w:after="0"/>
              <w:rPr>
                <w:sz w:val="20"/>
                <w:szCs w:val="20"/>
                <w:color w:val="auto"/>
              </w:rPr>
            </w:pPr>
            <w:r>
              <w:rPr>
                <w:rFonts w:ascii="Arial" w:cs="Arial" w:eastAsia="Arial" w:hAnsi="Arial"/>
                <w:sz w:val="16"/>
                <w:szCs w:val="16"/>
                <w:color w:val="auto"/>
              </w:rPr>
              <w:t>54</w:t>
            </w:r>
          </w:p>
        </w:tc>
        <w:tc>
          <w:tcPr>
            <w:tcW w:w="14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7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w:t>
            </w:r>
          </w:p>
        </w:tc>
        <w:tc>
          <w:tcPr>
            <w:tcW w:w="2000" w:type="dxa"/>
            <w:vAlign w:val="bottom"/>
            <w:vMerge w:val="continue"/>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There were approximately 371,000 shares of common stock available for future issuance under the ESPP at December 31, 2016.</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50%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Defined contribution plans expense</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7,941</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6,579</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7,097</w:t>
            </w:r>
          </w:p>
        </w:tc>
      </w:tr>
      <w:tr>
        <w:trPr>
          <w:trHeight w:val="33"/>
        </w:trPr>
        <w:tc>
          <w:tcPr>
            <w:tcW w:w="60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type w:val="continuous"/>
        </w:sectPr>
      </w:pPr>
    </w:p>
    <w:bookmarkStart w:id="75" w:name="page76"/>
    <w:bookmarkEnd w:id="75"/>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performance and financial targets.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Bonus and profit sharing plans and award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43,377</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14,192</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34,989</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Current:</w:t>
            </w: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20,490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17,749</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775</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20,269</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current</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35,784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20,611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38,793</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Deferred:</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Federal</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(82,186)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State and local</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(979)</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(24,815)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(41,893)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(51,646)</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deferred</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(12,850)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(38,914)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(134,811)</w:t>
            </w: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valuation allowance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26,640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40,402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100,053</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provision for income taxes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49,574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68"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The change in the valuation allowance does not include the impacts of currency translation adjustments or significant intercompany transactions.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as a percentage of income before tax was 58.6%, 59.6%, and (22.1)% for 2016, 2015, and 2014, respectively. Our actual tax rate differed from the 35% U.S. federal statutory tax rate due to various items. A reconciliation of income taxes at the U.S. federal statutory rate of 35% to the consolidated actual tax rate is as follows: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Domestic</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196,750</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86,605</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Foreign</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(112,123)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(78,424)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(104,870)</w:t>
            </w:r>
          </w:p>
        </w:tc>
      </w:tr>
      <w:tr>
        <w:trPr>
          <w:trHeight w:val="33"/>
        </w:trPr>
        <w:tc>
          <w:tcPr>
            <w:tcW w:w="6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income (loss) before income taxes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0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federal income tax provision (benefit)</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29,619</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(6,393)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100,053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2,762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earnings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(31,544)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Tax credits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(91,148)</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Uncertain tax positions, including interest and penalties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Change in tax rates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income tax provision (benefit), net of federal effect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U.S. tax provision on foreign earnings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31,309</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Local foreign taxes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2,914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2,295</w:t>
            </w:r>
          </w:p>
        </w:tc>
      </w:tr>
      <w:tr>
        <w:trPr>
          <w:trHeight w:val="33"/>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provision for income taxes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49,574</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22,099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4,035</w:t>
            </w:r>
          </w:p>
        </w:tc>
      </w:tr>
      <w:tr>
        <w:trPr>
          <w:trHeight w:val="33"/>
        </w:trPr>
        <w:tc>
          <w:tcPr>
            <w:tcW w:w="6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3"/>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194,381</w:t>
            </w:r>
          </w:p>
        </w:tc>
        <w:tc>
          <w:tcPr>
            <w:tcW w:w="120" w:type="dxa"/>
            <w:vAlign w:val="bottom"/>
            <w:shd w:val="clear" w:color="auto" w:fill="CCEEFF"/>
          </w:tcPr>
          <w:p>
            <w:pPr>
              <w:spacing w:after="0"/>
              <w:rPr>
                <w:sz w:val="24"/>
                <w:szCs w:val="24"/>
                <w:color w:val="auto"/>
              </w:rPr>
            </w:pPr>
          </w:p>
        </w:tc>
        <w:tc>
          <w:tcPr>
            <w:tcW w:w="60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190,545</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vMerge w:val="continue"/>
            <w:shd w:val="clear" w:color="auto" w:fill="CCEEFF"/>
          </w:tcPr>
          <w:p>
            <w:pPr>
              <w:spacing w:after="0"/>
              <w:rPr>
                <w:sz w:val="6"/>
                <w:szCs w:val="6"/>
                <w:color w:val="auto"/>
              </w:rPr>
            </w:pPr>
          </w:p>
        </w:tc>
        <w:tc>
          <w:tcPr>
            <w:tcW w:w="13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vMerge w:val="continue"/>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tcPr>
          <w:p>
            <w:pPr>
              <w:ind w:left="380"/>
              <w:spacing w:after="0"/>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53,323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52,131</w:t>
            </w:r>
          </w:p>
        </w:tc>
        <w:tc>
          <w:tcPr>
            <w:tcW w:w="0" w:type="dxa"/>
            <w:vAlign w:val="bottom"/>
          </w:tcPr>
          <w:p>
            <w:pPr>
              <w:spacing w:after="0"/>
              <w:rPr>
                <w:sz w:val="1"/>
                <w:szCs w:val="1"/>
                <w:color w:val="auto"/>
              </w:rPr>
            </w:pPr>
          </w:p>
        </w:tc>
      </w:tr>
      <w:tr>
        <w:trPr>
          <w:trHeight w:val="209"/>
        </w:trPr>
        <w:tc>
          <w:tcPr>
            <w:tcW w:w="7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33,546</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Pension plan benefits expense</w:t>
            </w: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16,822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16,232</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Warranty reserves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21,306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25,129</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15,698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21,499</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9,303</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Inventory valuation</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3,086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4,068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9,097</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Tax effect of accumulated translation</w:t>
            </w:r>
          </w:p>
        </w:tc>
        <w:tc>
          <w:tcPr>
            <w:tcW w:w="40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deferred tax assets,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13,621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11,770</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deferred tax assets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366,393</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373,611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(249,560)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(235,339)</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deferred tax assets, net of valuation allowance</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116,833</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138,272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(19,995)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Tax effect of accumulated translation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deferred tax liabilities,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(3,608)</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Total deferred tax liabilities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(25,793)</w:t>
            </w: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(30,608)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107,664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340" w:hanging="332"/>
        <w:spacing w:after="0" w:line="253"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2016, we had U.S. federal loss carryforwards of $13.2 million that expire during the years 2020 and 2021. At December 31, 2016, we have net operating loss carryforwards in Luxembourg of $483.5 million that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2016, there was a valuation allowance of $249.6 million primarily associated with foreign loss carryforwards and foreign tax credit carryforwards (discussed below).</w:t>
      </w:r>
    </w:p>
    <w:p>
      <w:pPr>
        <w:spacing w:after="0" w:line="217" w:lineRule="exact"/>
        <w:rPr>
          <w:rFonts w:ascii="Arial" w:cs="Arial" w:eastAsia="Arial" w:hAnsi="Arial"/>
          <w:sz w:val="25"/>
          <w:szCs w:val="25"/>
          <w:color w:val="auto"/>
          <w:vertAlign w:val="superscript"/>
        </w:rPr>
      </w:pPr>
    </w:p>
    <w:p>
      <w:pPr>
        <w:jc w:val="both"/>
        <w:ind w:left="340" w:hanging="332"/>
        <w:spacing w:after="0" w:line="245"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For tax return purposes at December 31, 2016, we had: (1) U.S. general business credits of $15.3 million, which begin to expire in 2022; (2) U.S. alternative minimum tax credits of $2.5 million that can be carried forward indefinitely; (3) U.S. foreign tax credits of $49.4 million, which begin to expire in 2024; and (4) state tax credits of $10.0 million, which begin to expire in 2017. At December 31, 2016, there was a valuation allowance of $32.3 million associated with foreign tax credit carryforwards, and $6.0 million associated with state tax credit carryforwards.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deferred tax assets at December 31, 2016 do not include the tax effect on $40.9 million of excess tax benefits from employee stock plan exercises. Common stock will be increased by approximately $15 million when such excess tax benefits reduce cash taxes payable. See Note 1 for further discussion regarding the impact of adopting ASU 2016-09.</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consist primarily of undistributed foreign earnings of $4.9 million and $8.7 million at December 31, 2016 and 2015, respectively. Foreign taxes have been provided on these undistributed foreign earnings. We have</w:t>
      </w:r>
    </w:p>
    <w:p>
      <w:pPr>
        <w:sectPr>
          <w:pgSz w:w="11900" w:h="16838" w:orient="portrait"/>
          <w:cols w:equalWidth="0" w:num="1">
            <w:col w:w="11420"/>
          </w:cols>
          <w:pgMar w:left="240" w:top="368"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368" w:right="239" w:bottom="1440" w:gutter="0" w:footer="0" w:header="0"/>
          <w:type w:val="continuous"/>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not computed the unrecognized deferred income tax liability on these temporary differences. There are many assumptions that must be considered to calculate the liability, thereby making it impractical to compute at this time.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(in thousands)</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January 1, 2014</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28,615</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2,749</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3,008</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(1,715)</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(2,870)</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2014</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28,146</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6,461</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25,741</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(2,048)</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2015</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54,880</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Gross increase to positions in prior years</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1,164</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Gross decrease to positions in prior years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Gross increases to current period tax positions</w:t>
            </w:r>
          </w:p>
        </w:tc>
        <w:tc>
          <w:tcPr>
            <w:tcW w:w="2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5,071</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Audit settlements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(1,116)</w:t>
            </w:r>
          </w:p>
        </w:tc>
      </w:tr>
      <w:tr>
        <w:trPr>
          <w:trHeight w:val="224"/>
        </w:trPr>
        <w:tc>
          <w:tcPr>
            <w:tcW w:w="9720" w:type="dxa"/>
            <w:vAlign w:val="bottom"/>
          </w:tcPr>
          <w:p>
            <w:pPr>
              <w:ind w:left="380"/>
              <w:spacing w:after="0"/>
              <w:rPr>
                <w:sz w:val="20"/>
                <w:szCs w:val="20"/>
                <w:color w:val="auto"/>
              </w:rPr>
            </w:pPr>
            <w:r>
              <w:rPr>
                <w:rFonts w:ascii="Arial" w:cs="Arial" w:eastAsia="Arial" w:hAnsi="Arial"/>
                <w:sz w:val="16"/>
                <w:szCs w:val="16"/>
                <w:color w:val="auto"/>
              </w:rPr>
              <w:t>Decrease related to lapsing of statute of limitations</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3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Unrecognized tax benefits at December 31, 2016</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57,626</w:t>
            </w:r>
          </w:p>
        </w:tc>
      </w:tr>
      <w:tr>
        <w:trPr>
          <w:trHeight w:val="33"/>
        </w:trPr>
        <w:tc>
          <w:tcPr>
            <w:tcW w:w="9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At December 31,</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20"/>
                <w:szCs w:val="20"/>
                <w:color w:val="auto"/>
              </w:rPr>
            </w:pPr>
          </w:p>
        </w:tc>
        <w:tc>
          <w:tcPr>
            <w:tcW w:w="15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2015</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The amount of unrecognized tax benefits that, if recognized, would affect our effective tax</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06"/>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56,411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53,602</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26,980</w:t>
            </w:r>
          </w:p>
        </w:tc>
      </w:tr>
      <w:tr>
        <w:trPr>
          <w:trHeight w:val="33"/>
        </w:trPr>
        <w:tc>
          <w:tcPr>
            <w:tcW w:w="6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in certain locations based upon present circumstances.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68" w:right="2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recognized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64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880</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r>
      <w:tr>
        <w:trPr>
          <w:trHeight w:val="588"/>
        </w:trPr>
        <w:tc>
          <w:tcPr>
            <w:tcW w:w="6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24"/>
                <w:szCs w:val="24"/>
                <w:color w:val="auto"/>
              </w:rPr>
            </w:pP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2016</w:t>
            </w:r>
          </w:p>
        </w:tc>
        <w:tc>
          <w:tcPr>
            <w:tcW w:w="64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2,473</w:t>
            </w:r>
          </w:p>
        </w:tc>
        <w:tc>
          <w:tcPr>
            <w:tcW w:w="6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color w:val="auto"/>
              </w:rPr>
              <w:t>2,329</w:t>
            </w:r>
          </w:p>
        </w:tc>
        <w:tc>
          <w:tcPr>
            <w:tcW w:w="6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2,577</w:t>
            </w:r>
          </w:p>
        </w:tc>
      </w:tr>
    </w:tbl>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2016, we are under examination by certain tax authorities for the 2000 to 2015 tax years. The material jurisdictions where we are subject to examination for the 2000 to 2015 tax years include, among others, the U.S., France, Germany, Italy, Brazil and the United Kingdom. No material changes have occurred to previously disclosed assessments. In December 2016, we filed a formal protest letter with the Internal Revenue Service requesting an Appeals hearing regarding the 2011-2013 tax audit assessment received earlier this year relating to research and development tax credits.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gridSpan w:val="2"/>
          </w:tcPr>
          <w:p>
            <w:pPr>
              <w:ind w:left="40"/>
              <w:spacing w:after="0"/>
              <w:rPr>
                <w:sz w:val="20"/>
                <w:szCs w:val="20"/>
                <w:color w:val="auto"/>
              </w:rPr>
            </w:pPr>
            <w:r>
              <w:rPr>
                <w:rFonts w:ascii="Arial" w:cs="Arial" w:eastAsia="Arial" w:hAnsi="Arial"/>
                <w:sz w:val="16"/>
                <w:szCs w:val="16"/>
                <w:b w:val="1"/>
                <w:bCs w:val="1"/>
                <w:color w:val="auto"/>
              </w:rPr>
              <w:t>Tax Jurisdiction</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33"/>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1999</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France</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2009</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Germany</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2010</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Brazil</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2010</w:t>
            </w:r>
          </w:p>
        </w:tc>
      </w:tr>
      <w:tr>
        <w:trPr>
          <w:trHeight w:val="33"/>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237"/>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Subsequent to 2007</w:t>
            </w:r>
          </w:p>
        </w:tc>
      </w:tr>
    </w:tbl>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Rental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14,232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15,524</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19,178</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8" w:right="239" w:bottom="1440" w:gutter="0" w:footer="0" w:header="0"/>
        </w:sectPr>
      </w:pPr>
    </w:p>
    <w:bookmarkStart w:id="80" w:name="page81"/>
    <w:bookmarkEnd w:id="80"/>
    <w:p>
      <w:pPr>
        <w:jc w:val="both"/>
        <w:ind w:right="20"/>
        <w:spacing w:after="0" w:line="277" w:lineRule="auto"/>
        <w:rPr>
          <w:sz w:val="20"/>
          <w:szCs w:val="20"/>
          <w:color w:val="auto"/>
        </w:rPr>
      </w:pPr>
      <w:r>
        <w:rPr>
          <w:rFonts w:ascii="Arial" w:cs="Arial" w:eastAsia="Arial" w:hAnsi="Arial"/>
          <w:sz w:val="18"/>
          <w:szCs w:val="18"/>
          <w:color w:val="auto"/>
        </w:rPr>
        <w:t>Future minimum lease payments at December 31, 2016, under noncancelable operating leases with initial or remaining terms in excess of one year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ind w:right="239"/>
              <w:spacing w:after="0"/>
              <w:rPr>
                <w:sz w:val="20"/>
                <w:szCs w:val="20"/>
                <w:color w:val="auto"/>
              </w:rPr>
            </w:pPr>
            <w:r>
              <w:rPr>
                <w:rFonts w:ascii="Arial" w:cs="Arial" w:eastAsia="Arial" w:hAnsi="Arial"/>
                <w:sz w:val="16"/>
                <w:szCs w:val="16"/>
                <w:b w:val="1"/>
                <w:bCs w:val="1"/>
                <w:color w:val="auto"/>
                <w:w w:val="98"/>
              </w:rPr>
              <w:t>Minimum Payments</w:t>
            </w:r>
          </w:p>
        </w:tc>
      </w:tr>
      <w:tr>
        <w:trPr>
          <w:trHeight w:val="33"/>
        </w:trPr>
        <w:tc>
          <w:tcPr>
            <w:tcW w:w="9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1"/>
        </w:trPr>
        <w:tc>
          <w:tcPr>
            <w:tcW w:w="9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4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13,128</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12,238</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9,152</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6,026</w:t>
            </w:r>
          </w:p>
        </w:tc>
      </w:tr>
      <w:tr>
        <w:trPr>
          <w:trHeight w:val="33"/>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5,363</w:t>
            </w: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Beyond 2021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8,510</w:t>
            </w:r>
          </w:p>
        </w:tc>
      </w:tr>
      <w:tr>
        <w:trPr>
          <w:trHeight w:val="33"/>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9"/>
        </w:trPr>
        <w:tc>
          <w:tcPr>
            <w:tcW w:w="9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Future minimum lease payments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54,417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administrative offices. Our leases typically contain renewal options similar to the original terms with lease payments that increase based on the consumer price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At December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9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(97,167)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(151,837)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(46,103)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(46,574)</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356,730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301,589</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r>
              <w:rPr>
                <w:rFonts w:ascii="Arial" w:cs="Arial" w:eastAsia="Arial" w:hAnsi="Arial"/>
                <w:sz w:val="21"/>
                <w:szCs w:val="21"/>
                <w:color w:val="auto"/>
                <w:vertAlign w:val="superscript"/>
              </w:rPr>
              <w:t>(2)</w:t>
            </w:r>
          </w:p>
        </w:tc>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203,897</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253,426</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91,809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97,989</w:t>
            </w:r>
          </w:p>
        </w:tc>
        <w:tc>
          <w:tcPr>
            <w:tcW w:w="0" w:type="dxa"/>
            <w:vAlign w:val="bottom"/>
          </w:tcPr>
          <w:p>
            <w:pPr>
              <w:spacing w:after="0"/>
              <w:rPr>
                <w:sz w:val="1"/>
                <w:szCs w:val="1"/>
                <w:color w:val="auto"/>
              </w:rPr>
            </w:pPr>
          </w:p>
        </w:tc>
      </w:tr>
      <w:tr>
        <w:trPr>
          <w:trHeight w:val="224"/>
        </w:trPr>
        <w:tc>
          <w:tcPr>
            <w:tcW w:w="79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(21,734)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(31,122)</w:t>
            </w:r>
          </w:p>
        </w:tc>
        <w:tc>
          <w:tcPr>
            <w:tcW w:w="0" w:type="dxa"/>
            <w:vAlign w:val="bottom"/>
          </w:tcPr>
          <w:p>
            <w:pPr>
              <w:spacing w:after="0"/>
              <w:rPr>
                <w:sz w:val="1"/>
                <w:szCs w:val="1"/>
                <w:color w:val="auto"/>
              </w:rPr>
            </w:pPr>
          </w:p>
        </w:tc>
      </w:tr>
      <w:tr>
        <w:trPr>
          <w:trHeight w:val="47"/>
        </w:trPr>
        <w:tc>
          <w:tcPr>
            <w:tcW w:w="79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79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0" w:type="dxa"/>
            <w:vAlign w:val="bottom"/>
          </w:tcPr>
          <w:p>
            <w:pPr>
              <w:spacing w:after="0"/>
              <w:rPr>
                <w:sz w:val="1"/>
                <w:szCs w:val="1"/>
                <w:color w:val="auto"/>
              </w:rPr>
            </w:pPr>
          </w:p>
        </w:tc>
      </w:tr>
      <w:tr>
        <w:trPr>
          <w:trHeight w:val="209"/>
        </w:trPr>
        <w:tc>
          <w:tcPr>
            <w:tcW w:w="79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7900" w:type="dxa"/>
            <w:vAlign w:val="bottom"/>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3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70,006</w:t>
            </w:r>
          </w:p>
        </w:tc>
        <w:tc>
          <w:tcPr>
            <w:tcW w:w="12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62,983</w:t>
            </w:r>
          </w:p>
        </w:tc>
        <w:tc>
          <w:tcPr>
            <w:tcW w:w="0" w:type="dxa"/>
            <w:vAlign w:val="bottom"/>
          </w:tcPr>
          <w:p>
            <w:pPr>
              <w:spacing w:after="0"/>
              <w:rPr>
                <w:sz w:val="1"/>
                <w:szCs w:val="1"/>
                <w:color w:val="auto"/>
              </w:rPr>
            </w:pPr>
          </w:p>
        </w:tc>
      </w:tr>
      <w:tr>
        <w:trPr>
          <w:trHeight w:val="73"/>
        </w:trPr>
        <w:tc>
          <w:tcPr>
            <w:tcW w:w="79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9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48,221</w:t>
            </w:r>
          </w:p>
        </w:tc>
        <w:tc>
          <w:tcPr>
            <w:tcW w:w="12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87,558</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ind w:left="340" w:hanging="332"/>
        <w:spacing w:after="0" w:line="209"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During the year ended December 31, 2016, as a result of entering into the first and second amendments to the 2015 credit facility, the maximum limit available for additional standby LOCs under sub-facility was reduced from $300 million to $250 million.</w:t>
      </w:r>
    </w:p>
    <w:p>
      <w:pPr>
        <w:ind w:left="340" w:hanging="332"/>
        <w:spacing w:after="0" w:line="183" w:lineRule="auto"/>
        <w:tabs>
          <w:tab w:leader="none" w:pos="340" w:val="left"/>
        </w:tabs>
        <w:numPr>
          <w:ilvl w:val="0"/>
          <w:numId w:val="23"/>
        </w:numPr>
        <w:rPr>
          <w:rFonts w:ascii="Arial" w:cs="Arial" w:eastAsia="Arial" w:hAnsi="Arial"/>
          <w:sz w:val="23"/>
          <w:szCs w:val="23"/>
          <w:color w:val="auto"/>
          <w:vertAlign w:val="superscript"/>
        </w:rPr>
      </w:pPr>
      <w:r>
        <w:rPr>
          <w:rFonts w:ascii="Arial" w:cs="Arial" w:eastAsia="Arial" w:hAnsi="Arial"/>
          <w:sz w:val="15"/>
          <w:szCs w:val="15"/>
          <w:color w:val="auto"/>
        </w:rPr>
        <w:t>Short-term borrowings are included in “Other current liabilities” on the Consolidated Balance Sheets.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w:t>
      </w:r>
    </w:p>
    <w:p>
      <w:pPr>
        <w:sectPr>
          <w:pgSz w:w="11900" w:h="16838" w:orient="portrait"/>
          <w:cols w:equalWidth="0" w:num="1">
            <w:col w:w="11420"/>
          </w:cols>
          <w:pgMar w:left="240" w:top="368" w:right="239" w:bottom="906"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368" w:right="239" w:bottom="906" w:gutter="0" w:footer="0" w:header="0"/>
          <w:type w:val="continuous"/>
        </w:sectPr>
      </w:pPr>
    </w:p>
    <w:bookmarkStart w:id="81" w:name="page82"/>
    <w:bookmarkEnd w:id="81"/>
    <w:p>
      <w:pPr>
        <w:jc w:val="both"/>
        <w:spacing w:after="0" w:line="277" w:lineRule="auto"/>
        <w:rPr>
          <w:sz w:val="20"/>
          <w:szCs w:val="20"/>
          <w:color w:val="auto"/>
        </w:rPr>
      </w:pPr>
      <w:r>
        <w:rPr>
          <w:rFonts w:ascii="Arial" w:cs="Arial" w:eastAsia="Arial" w:hAnsi="Arial"/>
          <w:sz w:val="18"/>
          <w:szCs w:val="18"/>
          <w:color w:val="auto"/>
        </w:rPr>
        <w:t>generally do not limit the maximum potential payments. It is not possible to predict the maximum potential amount of future payments under these or similar agreements.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14, 2016, we entered into a confidential settlement agreement with Transdata Incorporated (Transdata) under which Transdata agreed to dismiss with prejudice all pending litigation in various United States District Courts against us and certain of our customers. As a part of the settlement, we received a patent license from Transdata for the use of the patents in future meter production and sales.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Brazil, the Conselho Administravo de Defesa Economica commenced an investigation of water meter suppliers, including our subsidiary, to determine whether such suppliers participated in agreements or concerted practices to coordinate their commercial policy in Brazil. On October 18, 2016, we settled with the Conselho Administravo de Defesa Economica. The settlement was not material to our results of operations or financial condition.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and its subsidiaries are parties to various employment-related proceedings in jurisdictions where it does business. None of the proceedings are individually material to Itron, and we believe that we have made adequate provision such that the ultimate disposition of the proceedings will not materially affect Itron's business or financial condition.</w:t>
      </w:r>
    </w:p>
    <w:p>
      <w:pPr>
        <w:sectPr>
          <w:pgSz w:w="11900" w:h="16838" w:orient="portrait"/>
          <w:cols w:equalWidth="0" w:num="1">
            <w:col w:w="11420"/>
          </w:cols>
          <w:pgMar w:left="240" w:top="368" w:right="239" w:bottom="1440" w:gutter="0" w:footer="0" w:header="0"/>
        </w:sectPr>
      </w:pP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warranty accrual account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766445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New product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adjustments and expirations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Claims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current portion of warranty</w:t>
      </w:r>
    </w:p>
    <w:p>
      <w:pPr>
        <w:spacing w:after="0" w:line="1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Long-term warranty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680"/>
        <w:spacing w:after="0"/>
        <w:tabs>
          <w:tab w:leader="none" w:pos="248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22383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54,512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36,548</w:t>
      </w:r>
    </w:p>
    <w:p>
      <w:pPr>
        <w:spacing w:after="0" w:line="86" w:lineRule="exact"/>
        <w:rPr>
          <w:sz w:val="20"/>
          <w:szCs w:val="20"/>
          <w:color w:val="auto"/>
        </w:rPr>
      </w:pPr>
    </w:p>
    <w:p>
      <w:pPr>
        <w:ind w:left="1220"/>
        <w:spacing w:after="0"/>
        <w:tabs>
          <w:tab w:leader="none" w:pos="3000" w:val="left"/>
        </w:tabs>
        <w:rPr>
          <w:sz w:val="20"/>
          <w:szCs w:val="20"/>
          <w:color w:val="auto"/>
        </w:rPr>
      </w:pPr>
      <w:r>
        <w:rPr>
          <w:rFonts w:ascii="Arial" w:cs="Arial" w:eastAsia="Arial" w:hAnsi="Arial"/>
          <w:sz w:val="16"/>
          <w:szCs w:val="16"/>
          <w:color w:val="auto"/>
        </w:rPr>
        <w:t>7,987</w:t>
      </w:r>
      <w:r>
        <w:rPr>
          <w:sz w:val="20"/>
          <w:szCs w:val="20"/>
          <w:color w:val="auto"/>
        </w:rPr>
        <w:tab/>
      </w:r>
      <w:r>
        <w:rPr>
          <w:rFonts w:ascii="Arial" w:cs="Arial" w:eastAsia="Arial" w:hAnsi="Arial"/>
          <w:sz w:val="16"/>
          <w:szCs w:val="16"/>
          <w:color w:val="auto"/>
        </w:rPr>
        <w:t>8,380</w:t>
      </w:r>
    </w:p>
    <w:p>
      <w:pPr>
        <w:spacing w:after="0" w:line="86" w:lineRule="exact"/>
        <w:rPr>
          <w:sz w:val="20"/>
          <w:szCs w:val="20"/>
          <w:color w:val="auto"/>
        </w:rPr>
      </w:pPr>
    </w:p>
    <w:p>
      <w:pPr>
        <w:ind w:left="1220"/>
        <w:spacing w:after="0"/>
        <w:tabs>
          <w:tab w:leader="none" w:pos="2920" w:val="left"/>
        </w:tabs>
        <w:rPr>
          <w:sz w:val="20"/>
          <w:szCs w:val="20"/>
          <w:color w:val="auto"/>
        </w:rPr>
      </w:pPr>
      <w:r>
        <w:rPr>
          <w:rFonts w:ascii="Arial" w:cs="Arial" w:eastAsia="Arial" w:hAnsi="Arial"/>
          <w:sz w:val="16"/>
          <w:szCs w:val="16"/>
          <w:color w:val="auto"/>
        </w:rPr>
        <w:t>5,933</w:t>
      </w:r>
      <w:r>
        <w:rPr>
          <w:sz w:val="20"/>
          <w:szCs w:val="20"/>
          <w:color w:val="auto"/>
        </w:rPr>
        <w:tab/>
      </w:r>
      <w:r>
        <w:rPr>
          <w:rFonts w:ascii="Arial" w:cs="Arial" w:eastAsia="Arial" w:hAnsi="Arial"/>
          <w:sz w:val="16"/>
          <w:szCs w:val="16"/>
          <w:color w:val="auto"/>
        </w:rPr>
        <w:t>37,604</w:t>
      </w:r>
    </w:p>
    <w:p>
      <w:pPr>
        <w:spacing w:after="0" w:line="86" w:lineRule="exact"/>
        <w:rPr>
          <w:sz w:val="20"/>
          <w:szCs w:val="20"/>
          <w:color w:val="auto"/>
        </w:rPr>
      </w:pPr>
    </w:p>
    <w:p>
      <w:pPr>
        <w:jc w:val="both"/>
        <w:ind w:left="1080"/>
        <w:spacing w:after="0"/>
        <w:tabs>
          <w:tab w:leader="none" w:pos="2880" w:val="left"/>
        </w:tabs>
        <w:rPr>
          <w:sz w:val="20"/>
          <w:szCs w:val="20"/>
          <w:color w:val="auto"/>
        </w:rPr>
      </w:pPr>
      <w:r>
        <w:rPr>
          <w:rFonts w:ascii="Arial" w:cs="Arial" w:eastAsia="Arial" w:hAnsi="Arial"/>
          <w:sz w:val="16"/>
          <w:szCs w:val="16"/>
          <w:color w:val="auto"/>
        </w:rPr>
        <w:t>(24,364)</w:t>
      </w:r>
      <w:r>
        <w:rPr>
          <w:sz w:val="20"/>
          <w:szCs w:val="20"/>
          <w:color w:val="auto"/>
        </w:rPr>
        <w:tab/>
      </w:r>
      <w:r>
        <w:rPr>
          <w:rFonts w:ascii="Arial" w:cs="Arial" w:eastAsia="Arial" w:hAnsi="Arial"/>
          <w:sz w:val="16"/>
          <w:szCs w:val="16"/>
          <w:color w:val="auto"/>
        </w:rPr>
        <w:t>(25,955)</w:t>
      </w:r>
    </w:p>
    <w:p>
      <w:pPr>
        <w:spacing w:after="0" w:line="86" w:lineRule="exact"/>
        <w:rPr>
          <w:sz w:val="20"/>
          <w:szCs w:val="20"/>
          <w:color w:val="auto"/>
        </w:rPr>
      </w:pPr>
    </w:p>
    <w:p>
      <w:pPr>
        <w:jc w:val="both"/>
        <w:ind w:left="1280"/>
        <w:spacing w:after="0"/>
        <w:tabs>
          <w:tab w:leader="none" w:pos="2960" w:val="left"/>
        </w:tabs>
        <w:rPr>
          <w:sz w:val="20"/>
          <w:szCs w:val="20"/>
          <w:color w:val="auto"/>
        </w:rPr>
      </w:pPr>
      <w:r>
        <w:rPr>
          <w:rFonts w:ascii="Arial" w:cs="Arial" w:eastAsia="Arial" w:hAnsi="Arial"/>
          <w:sz w:val="16"/>
          <w:szCs w:val="16"/>
          <w:color w:val="auto"/>
        </w:rPr>
        <w:t>(766)</w:t>
      </w:r>
      <w:r>
        <w:rPr>
          <w:sz w:val="20"/>
          <w:szCs w:val="20"/>
          <w:color w:val="auto"/>
        </w:rPr>
        <w:tab/>
      </w:r>
      <w:r>
        <w:rPr>
          <w:rFonts w:ascii="Arial" w:cs="Arial" w:eastAsia="Arial" w:hAnsi="Arial"/>
          <w:sz w:val="16"/>
          <w:szCs w:val="16"/>
          <w:color w:val="auto"/>
        </w:rPr>
        <w:t>(2,065)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43,302</w:t>
      </w:r>
      <w:r>
        <w:rPr>
          <w:sz w:val="20"/>
          <w:szCs w:val="20"/>
          <w:color w:val="auto"/>
        </w:rPr>
        <w:tab/>
      </w:r>
      <w:r>
        <w:rPr>
          <w:rFonts w:ascii="Arial" w:cs="Arial" w:eastAsia="Arial" w:hAnsi="Arial"/>
          <w:sz w:val="16"/>
          <w:szCs w:val="16"/>
          <w:color w:val="auto"/>
        </w:rPr>
        <w:t>54,512</w:t>
      </w:r>
    </w:p>
    <w:p>
      <w:pPr>
        <w:spacing w:after="0" w:line="86" w:lineRule="exact"/>
        <w:rPr>
          <w:sz w:val="20"/>
          <w:szCs w:val="20"/>
          <w:color w:val="auto"/>
        </w:rPr>
      </w:pPr>
    </w:p>
    <w:p>
      <w:pPr>
        <w:ind w:left="1140"/>
        <w:spacing w:after="0"/>
        <w:tabs>
          <w:tab w:leader="none" w:pos="2920" w:val="left"/>
        </w:tabs>
        <w:rPr>
          <w:sz w:val="20"/>
          <w:szCs w:val="20"/>
          <w:color w:val="auto"/>
        </w:rPr>
      </w:pPr>
      <w:r>
        <w:rPr>
          <w:rFonts w:ascii="Arial" w:cs="Arial" w:eastAsia="Arial" w:hAnsi="Arial"/>
          <w:sz w:val="16"/>
          <w:szCs w:val="16"/>
          <w:color w:val="auto"/>
        </w:rPr>
        <w:t>24,874</w:t>
      </w:r>
      <w:r>
        <w:rPr>
          <w:sz w:val="20"/>
          <w:szCs w:val="20"/>
          <w:color w:val="auto"/>
        </w:rPr>
        <w:tab/>
      </w:r>
      <w:r>
        <w:rPr>
          <w:rFonts w:ascii="Arial" w:cs="Arial" w:eastAsia="Arial" w:hAnsi="Arial"/>
          <w:sz w:val="16"/>
          <w:szCs w:val="16"/>
          <w:color w:val="auto"/>
        </w:rPr>
        <w:t>36,927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20" w:val="left"/>
          <w:tab w:leader="none" w:pos="1820" w:val="left"/>
          <w:tab w:leader="none" w:pos="29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18,428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17,585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223837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200" w:space="720"/>
            <w:col w:w="3500"/>
          </w:cols>
          <w:pgMar w:left="240" w:top="368" w:right="239" w:bottom="1440" w:gutter="0" w:footer="0" w:header="0"/>
          <w:type w:val="continuous"/>
        </w:sectPr>
      </w:pPr>
    </w:p>
    <w:p>
      <w:pPr>
        <w:spacing w:after="0" w:line="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and other changes and adjustments to warranties. Warranty expense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13,920</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45,984</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9,238</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68" w:right="239" w:bottom="1440" w:gutter="0" w:footer="0" w:header="0"/>
          <w:type w:val="continuous"/>
        </w:sectPr>
      </w:pPr>
    </w:p>
    <w:bookmarkStart w:id="82" w:name="page83"/>
    <w:bookmarkEnd w:id="82"/>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9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2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33,654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34,138</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1,437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2,792</w:t>
            </w:r>
          </w:p>
        </w:tc>
      </w:tr>
      <w:tr>
        <w:trPr>
          <w:trHeight w:val="33"/>
        </w:trPr>
        <w:tc>
          <w:tcPr>
            <w:tcW w:w="7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(444)</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31,549</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4,226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3,565</w:t>
            </w:r>
          </w:p>
        </w:tc>
      </w:tr>
      <w:tr>
        <w:trPr>
          <w:trHeight w:val="33"/>
        </w:trPr>
        <w:tc>
          <w:tcPr>
            <w:tcW w:w="79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27,323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30,089</w:t>
            </w:r>
          </w:p>
        </w:tc>
      </w:tr>
      <w:tr>
        <w:trPr>
          <w:trHeight w:val="20"/>
        </w:trPr>
        <w:tc>
          <w:tcPr>
            <w:tcW w:w="7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tcPr>
          <w:p>
            <w:pPr>
              <w:jc w:val="center"/>
              <w:ind w:right="239"/>
              <w:spacing w:after="0"/>
              <w:rPr>
                <w:sz w:val="20"/>
                <w:szCs w:val="20"/>
                <w:color w:val="auto"/>
              </w:rPr>
            </w:pPr>
            <w:r>
              <w:rPr>
                <w:rFonts w:ascii="Arial" w:cs="Arial" w:eastAsia="Arial" w:hAnsi="Arial"/>
                <w:sz w:val="16"/>
                <w:szCs w:val="16"/>
                <w:b w:val="1"/>
                <w:bCs w:val="1"/>
                <w:color w:val="auto"/>
                <w:w w:val="89"/>
              </w:rPr>
              <w:t>2015</w:t>
            </w:r>
          </w:p>
        </w:tc>
        <w:tc>
          <w:tcPr>
            <w:tcW w:w="42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(in thousands)</w:t>
            </w: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27,276</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25,355</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23,206</w:t>
            </w:r>
          </w:p>
        </w:tc>
      </w:tr>
      <w:tr>
        <w:trPr>
          <w:trHeight w:val="33"/>
        </w:trPr>
        <w:tc>
          <w:tcPr>
            <w:tcW w:w="60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p>
      <w:pPr>
        <w:ind w:left="8600"/>
        <w:spacing w:after="0"/>
        <w:tabs>
          <w:tab w:leader="none" w:pos="1040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66"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tabs>
          <w:tab w:leader="none" w:pos="7900" w:val="left"/>
          <w:tab w:leader="none" w:pos="9120" w:val="left"/>
          <w:tab w:leader="none" w:pos="9740" w:val="left"/>
          <w:tab w:leader="none" w:pos="10920" w:val="left"/>
        </w:tabs>
        <w:rPr>
          <w:sz w:val="20"/>
          <w:szCs w:val="20"/>
          <w:color w:val="auto"/>
        </w:rPr>
      </w:pPr>
      <w:r>
        <w:rPr>
          <w:rFonts w:ascii="Arial" w:cs="Arial" w:eastAsia="Arial" w:hAnsi="Arial"/>
          <w:sz w:val="16"/>
          <w:szCs w:val="16"/>
          <w:color w:val="auto"/>
        </w:rPr>
        <w:t>IBNR accrual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2,441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2,051</w:t>
      </w: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2016 Projects began during the three months ended September 30, 2016, and we expect to substantially complete the 2016 Projects by the end of 2018.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8" w:right="239" w:bottom="1440" w:gutter="0" w:footer="0" w:header="0"/>
        </w:sectPr>
      </w:pPr>
    </w:p>
    <w:bookmarkStart w:id="83" w:name="page84"/>
    <w:bookmarkEnd w:id="83"/>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year ended December 31, 2016, and the remaining expected restructuring costs as of December 31, 2016 related to the 2016 Projects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180" w:type="dxa"/>
            <w:vAlign w:val="bottom"/>
          </w:tcPr>
          <w:p>
            <w:pPr>
              <w:spacing w:after="0"/>
              <w:rPr>
                <w:sz w:val="17"/>
                <w:szCs w:val="17"/>
                <w:color w:val="auto"/>
              </w:rPr>
            </w:pPr>
          </w:p>
        </w:tc>
        <w:tc>
          <w:tcPr>
            <w:tcW w:w="18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Remaining Costs to be</w:t>
            </w:r>
          </w:p>
        </w:tc>
      </w:tr>
      <w:tr>
        <w:trPr>
          <w:trHeight w:val="203"/>
        </w:trPr>
        <w:tc>
          <w:tcPr>
            <w:tcW w:w="5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 Ended December</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December 31,</w:t>
            </w:r>
          </w:p>
        </w:tc>
      </w:tr>
      <w:tr>
        <w:trPr>
          <w:trHeight w:val="210"/>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2016</w:t>
            </w:r>
          </w:p>
        </w:tc>
        <w:tc>
          <w:tcPr>
            <w:tcW w:w="100" w:type="dxa"/>
            <w:vAlign w:val="bottom"/>
          </w:tcPr>
          <w:p>
            <w:pPr>
              <w:spacing w:after="0"/>
              <w:rPr>
                <w:sz w:val="18"/>
                <w:szCs w:val="18"/>
                <w:color w:val="auto"/>
              </w:rPr>
            </w:pP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779"/>
              <w:spacing w:after="0"/>
              <w:rPr>
                <w:sz w:val="20"/>
                <w:szCs w:val="20"/>
                <w:color w:val="auto"/>
              </w:rPr>
            </w:pPr>
            <w:r>
              <w:rPr>
                <w:rFonts w:ascii="Arial" w:cs="Arial" w:eastAsia="Arial" w:hAnsi="Arial"/>
                <w:sz w:val="16"/>
                <w:szCs w:val="16"/>
                <w:b w:val="1"/>
                <w:bCs w:val="1"/>
                <w:color w:val="auto"/>
              </w:rPr>
              <w:t>2016</w:t>
            </w:r>
          </w:p>
        </w:tc>
      </w:tr>
      <w:tr>
        <w:trPr>
          <w:trHeight w:val="33"/>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4,500</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 disposal</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7,219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7,219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16,389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15,500</w:t>
            </w:r>
          </w:p>
        </w:tc>
      </w:tr>
      <w:tr>
        <w:trPr>
          <w:trHeight w:val="284"/>
        </w:trPr>
        <w:tc>
          <w:tcPr>
            <w:tcW w:w="504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67,794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47,794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20,000</w:t>
            </w:r>
          </w:p>
        </w:tc>
      </w:tr>
      <w:tr>
        <w:trPr>
          <w:trHeight w:val="257"/>
        </w:trPr>
        <w:tc>
          <w:tcPr>
            <w:tcW w:w="50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34,468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23,968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10,500</w:t>
            </w:r>
          </w:p>
        </w:tc>
      </w:tr>
      <w:tr>
        <w:trPr>
          <w:trHeight w:val="33"/>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r>
      <w:tr>
        <w:trPr>
          <w:trHeight w:val="237"/>
        </w:trPr>
        <w:tc>
          <w:tcPr>
            <w:tcW w:w="504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1,938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67,794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0"/>
        </w:trPr>
        <w:tc>
          <w:tcPr>
            <w:tcW w:w="5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The 2014 Projects include consolidation of certain facilities and reduction of our global workforce. The improved structure positions us to meet our long-term profitability goals by better aligning global operations with markets where we can serve our customers profitably.</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began implementing these projects in the fourth quarter of 2014, and substantially completed them in the third quarter of 2016. Project activities will continue through the fourth quarter of 2017, however, no further costs are expected to be recognized related to the 2014 Projects.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total expected restructuring costs, the restructuring costs recognized in prior periods, the restructuring costs recognized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the remaining expected restructuring costs as of December 31, 2016 related to the 2014 Projects are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180" w:type="dxa"/>
            <w:vAlign w:val="bottom"/>
          </w:tcPr>
          <w:p>
            <w:pPr>
              <w:spacing w:after="0"/>
              <w:rPr>
                <w:sz w:val="17"/>
                <w:szCs w:val="17"/>
                <w:color w:val="auto"/>
              </w:rPr>
            </w:pPr>
          </w:p>
        </w:tc>
        <w:tc>
          <w:tcPr>
            <w:tcW w:w="1860" w:type="dxa"/>
            <w:vAlign w:val="bottom"/>
          </w:tcPr>
          <w:p>
            <w:pPr>
              <w:ind w:left="60"/>
              <w:spacing w:after="0"/>
              <w:rPr>
                <w:sz w:val="20"/>
                <w:szCs w:val="20"/>
                <w:color w:val="auto"/>
              </w:rPr>
            </w:pPr>
            <w:r>
              <w:rPr>
                <w:rFonts w:ascii="Arial" w:cs="Arial" w:eastAsia="Arial" w:hAnsi="Arial"/>
                <w:sz w:val="16"/>
                <w:szCs w:val="16"/>
                <w:b w:val="1"/>
                <w:bCs w:val="1"/>
                <w:color w:val="auto"/>
              </w:rPr>
              <w:t>Remaining Costs to be</w:t>
            </w:r>
          </w:p>
        </w:tc>
      </w:tr>
      <w:tr>
        <w:trPr>
          <w:trHeight w:val="203"/>
        </w:trPr>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Total Expected Costs at</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00" w:type="dxa"/>
            <w:vAlign w:val="bottom"/>
          </w:tcPr>
          <w:p>
            <w:pPr>
              <w:spacing w:after="0"/>
              <w:rPr>
                <w:sz w:val="17"/>
                <w:szCs w:val="17"/>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the Year Ended December</w:t>
            </w:r>
          </w:p>
        </w:tc>
        <w:tc>
          <w:tcPr>
            <w:tcW w:w="20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Recognized at December 31,</w:t>
            </w:r>
          </w:p>
        </w:tc>
      </w:tr>
      <w:tr>
        <w:trPr>
          <w:trHeight w:val="210"/>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December 31, 2016</w:t>
            </w: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00" w:type="dxa"/>
            <w:vAlign w:val="bottom"/>
          </w:tcPr>
          <w:p>
            <w:pPr>
              <w:spacing w:after="0"/>
              <w:rPr>
                <w:sz w:val="18"/>
                <w:szCs w:val="18"/>
                <w:color w:val="auto"/>
              </w:rPr>
            </w:pPr>
          </w:p>
        </w:tc>
        <w:tc>
          <w:tcPr>
            <w:tcW w:w="194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31, 2016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ind w:left="680"/>
              <w:spacing w:after="0"/>
              <w:rPr>
                <w:sz w:val="20"/>
                <w:szCs w:val="20"/>
                <w:color w:val="auto"/>
              </w:rPr>
            </w:pPr>
            <w:r>
              <w:rPr>
                <w:rFonts w:ascii="Arial" w:cs="Arial" w:eastAsia="Arial" w:hAnsi="Arial"/>
                <w:sz w:val="16"/>
                <w:szCs w:val="16"/>
                <w:b w:val="1"/>
                <w:bCs w:val="1"/>
                <w:color w:val="auto"/>
              </w:rPr>
              <w:t>2016</w:t>
            </w:r>
          </w:p>
        </w:tc>
      </w:tr>
      <w:tr>
        <w:trPr>
          <w:trHeight w:val="33"/>
        </w:trPr>
        <w:tc>
          <w:tcPr>
            <w:tcW w:w="2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34,373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160" w:type="dxa"/>
            <w:vAlign w:val="bottom"/>
          </w:tcPr>
          <w:p>
            <w:pPr>
              <w:spacing w:after="0"/>
              <w:rPr>
                <w:sz w:val="17"/>
                <w:szCs w:val="17"/>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8,849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8,880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ind w:left="1580"/>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1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w:t>
            </w:r>
          </w:p>
        </w:tc>
      </w:tr>
      <w:tr>
        <w:trPr>
          <w:trHeight w:val="284"/>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48,478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47,182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6"/>
                <w:szCs w:val="16"/>
                <w:color w:val="auto"/>
              </w:rPr>
              <w:t>—</w:t>
            </w:r>
          </w:p>
        </w:tc>
      </w:tr>
      <w:tr>
        <w:trPr>
          <w:trHeight w:val="257"/>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21,743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13,631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11,855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1,776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ind w:left="1580"/>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160" w:type="dxa"/>
            <w:vAlign w:val="bottom"/>
          </w:tcPr>
          <w:p>
            <w:pPr>
              <w:spacing w:after="0"/>
              <w:rPr>
                <w:sz w:val="20"/>
                <w:szCs w:val="20"/>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12,242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11,644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ind w:left="1580"/>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48,478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47,182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w:t>
            </w: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2013 Projects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September 2013, our management approved projects (the 2013 Projects) to restructure our operations to improve profitability and increase efficiencies. We began implementing these projects in the third quarter of 2013, and completed the projects during the third quarter of 2016.</w:t>
      </w:r>
    </w:p>
    <w:p>
      <w:pPr>
        <w:sectPr>
          <w:pgSz w:w="11900" w:h="16838" w:orient="portrait"/>
          <w:cols w:equalWidth="0" w:num="1">
            <w:col w:w="11420"/>
          </w:cols>
          <w:pgMar w:left="240" w:top="36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368" w:right="239" w:bottom="1440" w:gutter="0" w:footer="0" w:header="0"/>
          <w:type w:val="continuous"/>
        </w:sectPr>
      </w:pPr>
    </w:p>
    <w:bookmarkStart w:id="84" w:name="page85"/>
    <w:bookmarkEnd w:id="84"/>
    <w:p>
      <w:pPr>
        <w:jc w:val="both"/>
        <w:ind w:right="20"/>
        <w:spacing w:after="0" w:line="277" w:lineRule="auto"/>
        <w:rPr>
          <w:sz w:val="20"/>
          <w:szCs w:val="20"/>
          <w:color w:val="auto"/>
        </w:rPr>
      </w:pPr>
      <w:r>
        <w:rPr>
          <w:rFonts w:ascii="Arial" w:cs="Arial" w:eastAsia="Arial" w:hAnsi="Arial"/>
          <w:sz w:val="18"/>
          <w:szCs w:val="18"/>
          <w:color w:val="auto"/>
        </w:rPr>
        <w:t>The 2013 Projects resulted in approximately $26.2 million of restructuring expense, which was recognized from the third quarter of 2013 through the fourth quarter of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2016, 2014 and 2013 Projects during the year ended December 31, 2016: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2016</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29,581</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incurred and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39,943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7,188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1,959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49,090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(20,841)</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(7,188)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(2,672)</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December 31, 2016</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45,368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2,602</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47,970</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restructuring liabilities were $26.2 million and $25.2 million as of December 31, 2016 and 2015, respectively. The current restructuring liabilities are classified within other current liabilities on the Consolidated Balance Sheets. The long-term restructuring liabilities balances were $21.8 million and $4.4 million as of December 31, 2016 and 2015, respectively. The long-term restructuring liabilities are classified within other long-term obligations on the Consolidated Balance Sheets, and include facility exit costs and severance accruals.</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our Board of Directors prior to any payment to holders of common stock. There was no preferred stock issued or outstanding at December 31, 2016, 2015, and 2014.</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19, 2015, our Board authorized a new repurchase program of up to $50 million of our common stock over a 12-month period, beginning February 19, 2015. From February 19, 2015 through December 31, 2015, we repurchased 743,444 shares of our common stock, totaling $25.0 million. This program expired on February 19, 2016 with no share repurchases made subsequent to December 31, 2015.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4" w:right="239" w:bottom="1440" w:gutter="0" w:footer="0" w:header="0"/>
        </w:sectPr>
      </w:pPr>
    </w:p>
    <w:bookmarkStart w:id="85" w:name="page86"/>
    <w:bookmarkEnd w:id="85"/>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OCI is reflected as a net increase (decrease) to shareholders’ equity and is not reflected in our results of operations. The changes in the components of AOCI, net of tax,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Net Unrealized Gain</w:t>
            </w: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 Gain</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Pension Benefit</w:t>
            </w:r>
          </w:p>
        </w:tc>
        <w:tc>
          <w:tcPr>
            <w:tcW w:w="120" w:type="dxa"/>
            <w:vAlign w:val="bottom"/>
          </w:tcPr>
          <w:p>
            <w:pPr>
              <w:spacing w:after="0"/>
              <w:rPr>
                <w:sz w:val="17"/>
                <w:szCs w:val="17"/>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(Loss) on Derivative</w:t>
            </w: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(Loss) on Nonderivative</w:t>
            </w:r>
          </w:p>
        </w:tc>
        <w:tc>
          <w:tcPr>
            <w:tcW w:w="20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Obligation</w:t>
            </w:r>
          </w:p>
        </w:tc>
        <w:tc>
          <w:tcPr>
            <w:tcW w:w="168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Comprehensive Income</w:t>
            </w:r>
          </w:p>
        </w:tc>
      </w:tr>
      <w:tr>
        <w:trPr>
          <w:trHeight w:val="210"/>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Instruments</w:t>
            </w:r>
          </w:p>
        </w:tc>
        <w:tc>
          <w:tcPr>
            <w:tcW w:w="20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b w:val="1"/>
                <w:bCs w:val="1"/>
                <w:color w:val="auto"/>
              </w:rPr>
              <w:t>(Loss)</w:t>
            </w:r>
          </w:p>
        </w:tc>
      </w:tr>
      <w:tr>
        <w:trPr>
          <w:trHeight w:val="33"/>
        </w:trPr>
        <w:tc>
          <w:tcPr>
            <w:tcW w:w="2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(21,304)</w:t>
            </w:r>
          </w:p>
        </w:tc>
      </w:tr>
      <w:tr>
        <w:trPr>
          <w:trHeight w:val="23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(89,297)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(25,702)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(115,565)</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(89,297)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(24,947)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(113,756)</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(135,060)</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(69,245)</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3,698</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(72,929)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6,296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(65,547)</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242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(30,848)</w:t>
            </w:r>
          </w:p>
        </w:tc>
      </w:tr>
      <w:tr>
        <w:trPr>
          <w:trHeight w:val="33"/>
        </w:trPr>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Amounts reclassified from AOCI</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w:t>
            </w:r>
          </w:p>
        </w:tc>
      </w:tr>
      <w:tr>
        <w:trPr>
          <w:trHeight w:val="200"/>
        </w:trPr>
        <w:tc>
          <w:tcPr>
            <w:tcW w:w="2420" w:type="dxa"/>
            <w:vAlign w:val="bottom"/>
          </w:tcPr>
          <w:p>
            <w:pPr>
              <w:ind w:left="40"/>
              <w:spacing w:after="0"/>
              <w:rPr>
                <w:sz w:val="20"/>
                <w:szCs w:val="20"/>
                <w:color w:val="auto"/>
              </w:rPr>
            </w:pPr>
            <w:r>
              <w:rPr>
                <w:rFonts w:ascii="Arial" w:cs="Arial" w:eastAsia="Arial" w:hAnsi="Arial"/>
                <w:sz w:val="16"/>
                <w:szCs w:val="16"/>
                <w:color w:val="auto"/>
                <w:w w:val="96"/>
              </w:rPr>
              <w:t>Total other comprehensive income</w:t>
            </w:r>
          </w:p>
        </w:tc>
        <w:tc>
          <w:tcPr>
            <w:tcW w:w="1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06"/>
        </w:trPr>
        <w:tc>
          <w:tcPr>
            <w:tcW w:w="2420" w:type="dxa"/>
            <w:vAlign w:val="bottom"/>
          </w:tcPr>
          <w:p>
            <w:pPr>
              <w:ind w:left="120"/>
              <w:spacing w:after="0"/>
              <w:rPr>
                <w:sz w:val="20"/>
                <w:szCs w:val="20"/>
                <w:color w:val="auto"/>
              </w:rPr>
            </w:pPr>
            <w:r>
              <w:rPr>
                <w:rFonts w:ascii="Arial" w:cs="Arial" w:eastAsia="Arial" w:hAnsi="Arial"/>
                <w:sz w:val="16"/>
                <w:szCs w:val="16"/>
                <w:color w:val="auto"/>
              </w:rPr>
              <w:t>(loss)</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(24,977)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(28,720)</w:t>
            </w:r>
          </w:p>
        </w:tc>
      </w:tr>
      <w:tr>
        <w:trPr>
          <w:trHeight w:val="33"/>
        </w:trPr>
        <w:tc>
          <w:tcPr>
            <w:tcW w:w="2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December 31,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30" w:right="239" w:bottom="1440" w:gutter="0" w:footer="0" w:header="0"/>
        </w:sectPr>
      </w:pPr>
    </w:p>
    <w:bookmarkStart w:id="86" w:name="page87"/>
    <w:bookmarkEnd w:id="86"/>
    <w:p>
      <w:pPr>
        <w:spacing w:after="0"/>
        <w:rPr>
          <w:sz w:val="20"/>
          <w:szCs w:val="20"/>
          <w:color w:val="auto"/>
        </w:rPr>
      </w:pPr>
      <w:r>
        <w:rPr>
          <w:rFonts w:ascii="Arial" w:cs="Arial" w:eastAsia="Arial" w:hAnsi="Arial"/>
          <w:sz w:val="16"/>
          <w:szCs w:val="16"/>
          <w:color w:val="auto"/>
        </w:rPr>
        <w:t>The before-tax amount, income tax (provision) benefit, and net-of-tax amount related to each component of OCI during the reporting periods were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(23,280)</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(89,329)</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106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1,322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1,639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8,971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(25,270)</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(28,637)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(62,524)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(113,810)</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0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1"/>
                <w:szCs w:val="21"/>
                <w:color w:val="auto"/>
              </w:rPr>
            </w:pPr>
          </w:p>
        </w:tc>
        <w:tc>
          <w:tcPr>
            <w:tcW w:w="6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(23,570)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(89,297)</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Foreign currency translation adjustment reclassified into net income on disposal</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Net unrealized gain (loss) on derivative instruments designated as cash flow hedges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37"/>
        </w:trPr>
        <w:tc>
          <w:tcPr>
            <w:tcW w:w="606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1060" w:type="dxa"/>
            <w:vAlign w:val="bottom"/>
          </w:tcPr>
          <w:p>
            <w:pPr>
              <w:spacing w:after="0"/>
              <w:rPr>
                <w:sz w:val="20"/>
                <w:szCs w:val="20"/>
                <w:color w:val="auto"/>
              </w:rPr>
            </w:pPr>
          </w:p>
        </w:tc>
        <w:tc>
          <w:tcPr>
            <w:tcW w:w="660" w:type="dxa"/>
            <w:vAlign w:val="bottom"/>
          </w:tcPr>
          <w:p>
            <w:pPr>
              <w:jc w:val="right"/>
              <w:ind w:right="38"/>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benefit obligation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(24,947)</w:t>
            </w:r>
          </w:p>
        </w:tc>
        <w:tc>
          <w:tcPr>
            <w:tcW w:w="0" w:type="dxa"/>
            <w:vAlign w:val="bottom"/>
          </w:tcPr>
          <w:p>
            <w:pPr>
              <w:spacing w:after="0"/>
              <w:rPr>
                <w:sz w:val="1"/>
                <w:szCs w:val="1"/>
                <w:color w:val="auto"/>
              </w:rPr>
            </w:pP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(28,720)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(65,547)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(113,756)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Details about the AOCI components reclassified to the Consolidated Statements of Operations during the reporting periods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center"/>
              <w:ind w:left="19"/>
              <w:spacing w:after="0"/>
              <w:rPr>
                <w:sz w:val="20"/>
                <w:szCs w:val="20"/>
                <w:color w:val="auto"/>
              </w:rPr>
            </w:pPr>
            <w:r>
              <w:rPr>
                <w:rFonts w:ascii="Arial" w:cs="Arial" w:eastAsia="Arial" w:hAnsi="Arial"/>
                <w:sz w:val="16"/>
                <w:szCs w:val="16"/>
                <w:b w:val="1"/>
                <w:bCs w:val="1"/>
                <w:color w:val="auto"/>
                <w:w w:val="92"/>
              </w:rPr>
              <w:t>Amount Reclassified from AOCI</w:t>
            </w:r>
            <w:r>
              <w:rPr>
                <w:rFonts w:ascii="Arial" w:cs="Arial" w:eastAsia="Arial" w:hAnsi="Arial"/>
                <w:sz w:val="21"/>
                <w:szCs w:val="21"/>
                <w:b w:val="1"/>
                <w:bCs w:val="1"/>
                <w:color w:val="auto"/>
                <w:w w:val="92"/>
                <w:vertAlign w:val="superscript"/>
              </w:rPr>
              <w:t>(1)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3"/>
              </w:rPr>
              <w:t>Affected Line Item in the Income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40" w:type="dxa"/>
            <w:vAlign w:val="bottom"/>
            <w:gridSpan w:val="6"/>
          </w:tcPr>
          <w:p>
            <w:pPr>
              <w:jc w:val="center"/>
              <w:ind w:right="319"/>
              <w:spacing w:after="0"/>
              <w:rPr>
                <w:sz w:val="20"/>
                <w:szCs w:val="20"/>
                <w:color w:val="auto"/>
              </w:rPr>
            </w:pPr>
            <w:r>
              <w:rPr>
                <w:rFonts w:ascii="Arial" w:cs="Arial" w:eastAsia="Arial" w:hAnsi="Arial"/>
                <w:sz w:val="16"/>
                <w:szCs w:val="16"/>
                <w:b w:val="1"/>
                <w:bCs w:val="1"/>
                <w:color w:val="auto"/>
                <w:w w:val="91"/>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Statement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thousands)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Amortization of defined benefit pension items</w:t>
            </w: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Prior-service costs</w:t>
            </w:r>
          </w:p>
        </w:tc>
        <w:tc>
          <w:tcPr>
            <w:tcW w:w="940" w:type="dxa"/>
            <w:vAlign w:val="bottom"/>
            <w:vMerge w:val="restart"/>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36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24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vMerge w:val="continue"/>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gridSpan w:val="3"/>
            <w:vMerge w:val="continue"/>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Actuarial losses</w:t>
            </w:r>
          </w:p>
        </w:tc>
        <w:tc>
          <w:tcPr>
            <w:tcW w:w="9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w w:val="94"/>
              </w:rPr>
              <w:t>(1,351)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(1,979)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(572)</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2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240" w:type="dxa"/>
            <w:vAlign w:val="bottom"/>
            <w:vMerge w:val="restart"/>
            <w:shd w:val="clear" w:color="auto" w:fill="CCEEFF"/>
          </w:tcPr>
          <w:p>
            <w:pPr>
              <w:ind w:left="200"/>
              <w:spacing w:after="0"/>
              <w:rPr>
                <w:sz w:val="20"/>
                <w:szCs w:val="20"/>
                <w:color w:val="auto"/>
              </w:rPr>
            </w:pPr>
            <w:r>
              <w:rPr>
                <w:rFonts w:ascii="Arial" w:cs="Arial" w:eastAsia="Arial" w:hAnsi="Arial"/>
                <w:sz w:val="16"/>
                <w:szCs w:val="16"/>
                <w:color w:val="auto"/>
              </w:rPr>
              <w:t>Loss on settlement</w:t>
            </w:r>
          </w:p>
        </w:tc>
        <w:tc>
          <w:tcPr>
            <w:tcW w:w="94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4"/>
              </w:rPr>
              <w:t>(1,343)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83"/>
        </w:trPr>
        <w:tc>
          <w:tcPr>
            <w:tcW w:w="4240" w:type="dxa"/>
            <w:vAlign w:val="bottom"/>
            <w:tcBorders>
              <w:bottom w:val="single" w:sz="8" w:color="CCEEFF"/>
            </w:tcBorders>
            <w:vMerge w:val="continue"/>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3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240" w:type="dxa"/>
            <w:vAlign w:val="bottom"/>
            <w:vMerge w:val="restart"/>
          </w:tcPr>
          <w:p>
            <w:pPr>
              <w:ind w:left="20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500" w:type="dxa"/>
            <w:vAlign w:val="bottom"/>
            <w:gridSpan w:val="2"/>
          </w:tcPr>
          <w:p>
            <w:pPr>
              <w:ind w:left="1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0"/>
        </w:trPr>
        <w:tc>
          <w:tcPr>
            <w:tcW w:w="42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jc w:val="center"/>
              <w:ind w:right="2379"/>
              <w:spacing w:after="0"/>
              <w:rPr>
                <w:sz w:val="20"/>
                <w:szCs w:val="20"/>
                <w:color w:val="auto"/>
              </w:rPr>
            </w:pPr>
            <w:r>
              <w:rPr>
                <w:rFonts w:ascii="Arial" w:cs="Arial" w:eastAsia="Arial" w:hAnsi="Arial"/>
                <w:sz w:val="16"/>
                <w:szCs w:val="16"/>
                <w:color w:val="auto"/>
                <w:w w:val="91"/>
              </w:rPr>
              <w:t>Total, before tax</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(2,752)</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0"/>
                <w:szCs w:val="20"/>
                <w:color w:val="auto"/>
              </w:rPr>
            </w:pPr>
          </w:p>
        </w:tc>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Income (loss) before income taxes</w:t>
            </w:r>
          </w:p>
        </w:tc>
        <w:tc>
          <w:tcPr>
            <w:tcW w:w="0" w:type="dxa"/>
            <w:vAlign w:val="bottom"/>
          </w:tcPr>
          <w:p>
            <w:pPr>
              <w:spacing w:after="0"/>
              <w:rPr>
                <w:sz w:val="1"/>
                <w:szCs w:val="1"/>
                <w:color w:val="auto"/>
              </w:rPr>
            </w:pPr>
          </w:p>
        </w:tc>
      </w:tr>
      <w:tr>
        <w:trPr>
          <w:trHeight w:val="237"/>
        </w:trPr>
        <w:tc>
          <w:tcPr>
            <w:tcW w:w="4240" w:type="dxa"/>
            <w:vAlign w:val="bottom"/>
          </w:tcPr>
          <w:p>
            <w:pPr>
              <w:jc w:val="center"/>
              <w:ind w:right="2379"/>
              <w:spacing w:after="0"/>
              <w:rPr>
                <w:sz w:val="20"/>
                <w:szCs w:val="20"/>
                <w:color w:val="auto"/>
              </w:rPr>
            </w:pPr>
            <w:r>
              <w:rPr>
                <w:rFonts w:ascii="Arial" w:cs="Arial" w:eastAsia="Arial" w:hAnsi="Arial"/>
                <w:sz w:val="16"/>
                <w:szCs w:val="16"/>
                <w:color w:val="auto"/>
                <w:w w:val="93"/>
              </w:rPr>
              <w:t>Tax benefit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6"/>
                <w:szCs w:val="16"/>
                <w:color w:val="auto"/>
              </w:rPr>
              <w:t>Income tax provision</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shd w:val="clear" w:color="auto" w:fill="CCEEFF"/>
          </w:tcPr>
          <w:p>
            <w:pPr>
              <w:jc w:val="center"/>
              <w:ind w:right="2419"/>
              <w:spacing w:after="0"/>
              <w:rPr>
                <w:sz w:val="20"/>
                <w:szCs w:val="20"/>
                <w:color w:val="auto"/>
              </w:rPr>
            </w:pPr>
            <w:r>
              <w:rPr>
                <w:rFonts w:ascii="Arial" w:cs="Arial" w:eastAsia="Arial" w:hAnsi="Arial"/>
                <w:sz w:val="16"/>
                <w:szCs w:val="16"/>
                <w:color w:val="auto"/>
                <w:w w:val="92"/>
              </w:rPr>
              <w:t>Total, net of tax</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(2,723)</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Amounts in parenthesis indicate debits to the Consolidated Statements of Operations.</w:t>
      </w:r>
    </w:p>
    <w:p>
      <w:pPr>
        <w:ind w:left="340" w:hanging="332"/>
        <w:spacing w:after="0" w:line="182" w:lineRule="auto"/>
        <w:tabs>
          <w:tab w:leader="none" w:pos="34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These AOCI components are included in the computation of net periodic pension cost. Refer to Note 8 for additional details.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368" w:right="239" w:bottom="1440" w:gutter="0" w:footer="0" w:header="0"/>
          <w:type w:val="continuous"/>
        </w:sectPr>
      </w:pPr>
    </w:p>
    <w:bookmarkStart w:id="87" w:name="page88"/>
    <w:bookmarkEnd w:id="87"/>
    <w:p>
      <w:pPr>
        <w:jc w:val="both"/>
        <w:spacing w:after="0" w:line="277" w:lineRule="auto"/>
        <w:rPr>
          <w:sz w:val="20"/>
          <w:szCs w:val="20"/>
          <w:color w:val="auto"/>
        </w:rPr>
      </w:pPr>
      <w:r>
        <w:rPr>
          <w:rFonts w:ascii="Arial" w:cs="Arial" w:eastAsia="Arial" w:hAnsi="Arial"/>
          <w:sz w:val="18"/>
          <w:szCs w:val="18"/>
          <w:color w:val="auto"/>
        </w:rPr>
        <w:t>Reclassification of amounts related to foreign currency translation adjustment relate to the sale of a subsidiary and are included in restructuring expense in the Consolidated Statements of Operations for the years ended December 31,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Refer to Note 7 for additional details related to derivative activities that resulted in reclassification of AOCI to the Consolidated Statements of Operations.</w:t>
      </w:r>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at December 31, 2016 and 2015 do not reflect subsequent changes in the economy, interest rates, tax rates, and other variables that may affect the determination of fair value.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5"/>
          </w:tcPr>
          <w:p>
            <w:pPr>
              <w:ind w:left="88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18"/>
                <w:szCs w:val="18"/>
                <w:color w:val="auto"/>
              </w:rPr>
            </w:pPr>
          </w:p>
        </w:tc>
        <w:tc>
          <w:tcPr>
            <w:tcW w:w="310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2015</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0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131,018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131,018</w:t>
            </w: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rate swaps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1,423</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466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208,125</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205,676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219,375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217,830</w:t>
            </w: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150,570</w:t>
            </w: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9"/>
                <w:szCs w:val="19"/>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868</w:t>
            </w: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r>
      <w:tr>
        <w:trPr>
          <w:trHeight w:val="47"/>
        </w:trPr>
        <w:tc>
          <w:tcPr>
            <w:tcW w:w="4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3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revenues,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are included in the measure of segment profit or loss. In addition, we allocate only certain production assets and intangible assets to our operating segments. We do not manage the performance of the segments on a balance sheet basis.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368"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Segment Products</w:t>
      </w:r>
    </w:p>
    <w:p>
      <w:pPr>
        <w:spacing w:after="0" w:line="17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7"/>
          <w:szCs w:val="17"/>
          <w:i w:val="1"/>
          <w:iCs w:val="1"/>
          <w:color w:val="auto"/>
        </w:rPr>
        <w:t>Electricity</w:t>
      </w:r>
      <w:r>
        <w:rPr>
          <w:sz w:val="20"/>
          <w:szCs w:val="20"/>
          <w:color w:val="auto"/>
        </w:rPr>
        <w:tab/>
      </w:r>
      <w:r>
        <w:rPr>
          <w:rFonts w:ascii="Arial" w:cs="Arial" w:eastAsia="Arial" w:hAnsi="Arial"/>
          <w:sz w:val="17"/>
          <w:szCs w:val="17"/>
          <w:color w:val="auto"/>
        </w:rPr>
        <w:t>Standard electricity (electromechanical and electronic) meters; smart metering solutions that include one or several of the following:</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smart electricity meters; smart electricity communication modules; prepayment systems, including smart key, keypad, and smart card</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communication technologies; smart systems including handheld, mobile, and fixed network collection technologies; smart network</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technologies; meter data management software; knowledge application solutions; installation; implementation; and professional services</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including consulting and analysis.</w:t>
      </w:r>
    </w:p>
    <w:p>
      <w:pPr>
        <w:spacing w:after="0" w:line="21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6"/>
          <w:szCs w:val="16"/>
          <w:i w:val="1"/>
          <w:iCs w:val="1"/>
          <w:color w:val="auto"/>
        </w:rPr>
        <w:t>Gas</w:t>
      </w:r>
      <w:r>
        <w:rPr>
          <w:sz w:val="20"/>
          <w:szCs w:val="20"/>
          <w:color w:val="auto"/>
        </w:rPr>
        <w:tab/>
      </w:r>
      <w:r>
        <w:rPr>
          <w:rFonts w:ascii="Arial" w:cs="Arial" w:eastAsia="Arial" w:hAnsi="Arial"/>
          <w:sz w:val="16"/>
          <w:szCs w:val="16"/>
          <w:color w:val="auto"/>
        </w:rPr>
        <w:t>Standard gas meters; smart metering solutions that include one or several of the following: smart gas meters; smart gas communication</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modules; prepayment systems, including smart key, keypad, and smart card communication technologies; smart systems, including</w:t>
      </w:r>
    </w:p>
    <w:p>
      <w:pPr>
        <w:spacing w:after="0" w:line="2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handheld, mobile, and fixed network collection technologies; smart network technologies; meter data management software; knowledge</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application solutions installation; implementation; and professional services including consulting and analysis.</w:t>
      </w:r>
    </w:p>
    <w:p>
      <w:pPr>
        <w:spacing w:after="0" w:line="21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7"/>
          <w:szCs w:val="17"/>
          <w:i w:val="1"/>
          <w:iCs w:val="1"/>
          <w:color w:val="auto"/>
        </w:rPr>
        <w:t>Water</w:t>
      </w:r>
      <w:r>
        <w:rPr>
          <w:sz w:val="20"/>
          <w:szCs w:val="20"/>
          <w:color w:val="auto"/>
        </w:rPr>
        <w:tab/>
      </w:r>
      <w:r>
        <w:rPr>
          <w:rFonts w:ascii="Arial" w:cs="Arial" w:eastAsia="Arial" w:hAnsi="Arial"/>
          <w:sz w:val="17"/>
          <w:szCs w:val="17"/>
          <w:color w:val="auto"/>
        </w:rPr>
        <w:t>Standard water and heat meters; smart metering solutions that include one or several of the following: smart water meters and</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communication modules; smart heat meters; smart systems including handheld, mobile, and fixed network collection technologies; meter</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data management software; knowledge application solutions; installation; implementation; and professional services including consulting</w:t>
      </w:r>
    </w:p>
    <w:p>
      <w:pPr>
        <w:spacing w:after="0" w:line="3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and analysis.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938,374</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820,306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771,857</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569,476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543,805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599,091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505,336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576,668</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2,013,186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1,947,616</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282,677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200,249</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205,063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185,559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211,623</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172,580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202,178</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660,320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556,685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614,050</w:t>
            </w:r>
          </w:p>
        </w:tc>
      </w:tr>
      <w:tr>
        <w:trPr>
          <w:trHeight w:val="73"/>
        </w:trPr>
        <w:tc>
          <w:tcPr>
            <w:tcW w:w="60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68,287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(77,751)</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Gas</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66,813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67,471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76,101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71,356</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(76,155)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(65,593)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(69,226)</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(11,584)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(18,745)</w:t>
            </w:r>
          </w:p>
        </w:tc>
      </w:tr>
      <w:tr>
        <w:trPr>
          <w:trHeight w:val="33"/>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This resulted in a decrease to gross profit of $29.4 million for the year ended December 31, 2015. After adjusting for the tax impact, this charge resulted in a decrease to basic and diluted EPS of $0.47 for the year ended December 31, 2015.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2014, in our Electricity segment, we revised our estimate of the cost to complete an OpenWay project in North America. This resulted in a decrease to gross profit of $15.9 million, which decreased basic and diluted EPS by $0.25 for the year ended December 31, 2014.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December 31, 2016, 2015, and 2014, no single customer represented more than 10% of total Company or the Gas or Water operating segment revenues. Two customers represented 12% and 10% of total Electricity revenue, respectively, for the year ended December 31, 2016. No customer represented more than 10% of Electricity revenue for the years ended December 31, 2015 and 2014.</w:t>
      </w:r>
    </w:p>
    <w:p>
      <w:pPr>
        <w:sectPr>
          <w:pgSz w:w="11900" w:h="16838" w:orient="portrait"/>
          <w:cols w:equalWidth="0" w:num="1">
            <w:col w:w="11420"/>
          </w:cols>
          <w:pgMar w:left="240" w:top="36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364"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Revenues by region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1,126,787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875,796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Europe, Middle East, and Africa (EMEA)</w:t>
            </w:r>
          </w:p>
        </w:tc>
        <w:tc>
          <w:tcPr>
            <w:tcW w:w="4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698,106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701,301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849,841</w:t>
            </w:r>
          </w:p>
        </w:tc>
      </w:tr>
      <w:tr>
        <w:trPr>
          <w:trHeight w:val="33"/>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184,939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221,979</w:t>
            </w:r>
          </w:p>
        </w:tc>
      </w:tr>
      <w:tr>
        <w:trPr>
          <w:trHeight w:val="244"/>
        </w:trPr>
        <w:tc>
          <w:tcPr>
            <w:tcW w:w="60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2,013,186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1,883,533</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1,947,616</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Revenues are allocated to countries and regions based on the location of the selling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Outside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Company</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associated with our segments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6060" w:val="left"/>
        </w:tabs>
        <w:rPr>
          <w:sz w:val="20"/>
          <w:szCs w:val="20"/>
          <w:color w:val="auto"/>
        </w:rPr>
      </w:pPr>
      <w:r>
        <w:rPr>
          <w:rFonts w:ascii="Arial" w:cs="Arial" w:eastAsia="Arial" w:hAnsi="Arial"/>
          <w:sz w:val="14"/>
          <w:szCs w:val="14"/>
          <w:color w:val="auto"/>
        </w:rPr>
        <w:t>Electricity</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Water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Corporate Unallocated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6060" w:val="left"/>
        </w:tabs>
        <w:rPr>
          <w:sz w:val="20"/>
          <w:szCs w:val="20"/>
          <w:color w:val="auto"/>
        </w:rPr>
      </w:pPr>
      <w:r>
        <w:rPr>
          <w:rFonts w:ascii="Arial" w:cs="Arial" w:eastAsia="Arial" w:hAnsi="Arial"/>
          <w:sz w:val="16"/>
          <w:szCs w:val="16"/>
          <w:color w:val="auto"/>
        </w:rPr>
        <w:t>Total Company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37465</wp:posOffset>
            </wp:positionV>
            <wp:extent cx="22383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70,435</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72,179</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106,023</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118,077</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176,458</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190,256</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37465</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jc w:val="right"/>
              <w:ind w:right="739"/>
              <w:spacing w:after="0"/>
              <w:rPr>
                <w:sz w:val="20"/>
                <w:szCs w:val="20"/>
                <w:color w:val="auto"/>
              </w:rPr>
            </w:pPr>
            <w:r>
              <w:rPr>
                <w:rFonts w:ascii="Arial" w:cs="Arial" w:eastAsia="Arial" w:hAnsi="Arial"/>
                <w:sz w:val="16"/>
                <w:szCs w:val="16"/>
                <w:b w:val="1"/>
                <w:bCs w:val="1"/>
                <w:color w:val="auto"/>
                <w:w w:val="84"/>
              </w:rPr>
              <w:t>2016</w:t>
            </w:r>
          </w:p>
        </w:tc>
        <w:tc>
          <w:tcPr>
            <w:tcW w:w="240" w:type="dxa"/>
            <w:vAlign w:val="bottom"/>
          </w:tcPr>
          <w:p>
            <w:pPr>
              <w:spacing w:after="0"/>
              <w:rPr>
                <w:sz w:val="18"/>
                <w:szCs w:val="18"/>
                <w:color w:val="auto"/>
              </w:rPr>
            </w:pPr>
          </w:p>
        </w:tc>
        <w:tc>
          <w:tcPr>
            <w:tcW w:w="14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270"/>
        </w:trPr>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140" w:type="dxa"/>
            <w:vAlign w:val="bottom"/>
          </w:tcPr>
          <w:p>
            <w:pPr>
              <w:jc w:val="right"/>
              <w:ind w:right="159"/>
              <w:spacing w:after="0"/>
              <w:rPr>
                <w:sz w:val="20"/>
                <w:szCs w:val="20"/>
                <w:color w:val="auto"/>
              </w:rPr>
            </w:pPr>
            <w:r>
              <w:rPr>
                <w:rFonts w:ascii="Arial" w:cs="Arial" w:eastAsia="Arial" w:hAnsi="Arial"/>
                <w:sz w:val="16"/>
                <w:szCs w:val="16"/>
                <w:color w:val="auto"/>
              </w:rPr>
              <w:t>28,468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35,896</w:t>
            </w:r>
          </w:p>
        </w:tc>
        <w:tc>
          <w:tcPr>
            <w:tcW w:w="120" w:type="dxa"/>
            <w:vAlign w:val="bottom"/>
          </w:tcPr>
          <w:p>
            <w:pPr>
              <w:spacing w:after="0"/>
              <w:rPr>
                <w:sz w:val="23"/>
                <w:szCs w:val="23"/>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47,889</w:t>
            </w:r>
          </w:p>
        </w:tc>
      </w:tr>
      <w:tr>
        <w:trPr>
          <w:trHeight w:val="270"/>
        </w:trPr>
        <w:tc>
          <w:tcPr>
            <w:tcW w:w="1140" w:type="dxa"/>
            <w:vAlign w:val="bottom"/>
          </w:tcPr>
          <w:p>
            <w:pPr>
              <w:jc w:val="right"/>
              <w:ind w:right="159"/>
              <w:spacing w:after="0"/>
              <w:rPr>
                <w:sz w:val="20"/>
                <w:szCs w:val="20"/>
                <w:color w:val="auto"/>
              </w:rPr>
            </w:pPr>
            <w:r>
              <w:rPr>
                <w:rFonts w:ascii="Arial" w:cs="Arial" w:eastAsia="Arial" w:hAnsi="Arial"/>
                <w:sz w:val="16"/>
                <w:szCs w:val="16"/>
                <w:color w:val="auto"/>
              </w:rPr>
              <w:t>20,714</w:t>
            </w: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20,288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25,706</w:t>
            </w:r>
          </w:p>
        </w:tc>
      </w:tr>
      <w:tr>
        <w:trPr>
          <w:trHeight w:val="270"/>
        </w:trPr>
        <w:tc>
          <w:tcPr>
            <w:tcW w:w="1140" w:type="dxa"/>
            <w:vAlign w:val="bottom"/>
          </w:tcPr>
          <w:p>
            <w:pPr>
              <w:jc w:val="right"/>
              <w:ind w:right="159"/>
              <w:spacing w:after="0"/>
              <w:rPr>
                <w:sz w:val="20"/>
                <w:szCs w:val="20"/>
                <w:color w:val="auto"/>
              </w:rPr>
            </w:pPr>
            <w:r>
              <w:rPr>
                <w:rFonts w:ascii="Arial" w:cs="Arial" w:eastAsia="Arial" w:hAnsi="Arial"/>
                <w:sz w:val="16"/>
                <w:szCs w:val="16"/>
                <w:color w:val="auto"/>
              </w:rPr>
              <w:t>18,675</w:t>
            </w: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19,459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24,257</w:t>
            </w:r>
          </w:p>
        </w:tc>
      </w:tr>
      <w:tr>
        <w:trPr>
          <w:trHeight w:val="270"/>
        </w:trPr>
        <w:tc>
          <w:tcPr>
            <w:tcW w:w="1140" w:type="dxa"/>
            <w:vAlign w:val="bottom"/>
          </w:tcPr>
          <w:p>
            <w:pPr>
              <w:jc w:val="right"/>
              <w:ind w:right="159"/>
              <w:spacing w:after="0"/>
              <w:rPr>
                <w:sz w:val="20"/>
                <w:szCs w:val="20"/>
                <w:color w:val="auto"/>
              </w:rPr>
            </w:pPr>
            <w:r>
              <w:rPr>
                <w:rFonts w:ascii="Arial" w:cs="Arial" w:eastAsia="Arial" w:hAnsi="Arial"/>
                <w:sz w:val="16"/>
                <w:szCs w:val="16"/>
                <w:color w:val="auto"/>
              </w:rPr>
              <w:t>461</w:t>
            </w:r>
          </w:p>
        </w:tc>
        <w:tc>
          <w:tcPr>
            <w:tcW w:w="24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1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140" w:type="dxa"/>
            <w:vAlign w:val="bottom"/>
          </w:tcPr>
          <w:p>
            <w:pPr>
              <w:jc w:val="right"/>
              <w:ind w:right="159"/>
              <w:spacing w:after="0"/>
              <w:rPr>
                <w:sz w:val="20"/>
                <w:szCs w:val="20"/>
                <w:color w:val="auto"/>
              </w:rPr>
            </w:pPr>
            <w:r>
              <w:rPr>
                <w:rFonts w:ascii="Arial" w:cs="Arial" w:eastAsia="Arial" w:hAnsi="Arial"/>
                <w:sz w:val="16"/>
                <w:szCs w:val="16"/>
                <w:color w:val="auto"/>
              </w:rPr>
              <w:t>68,318</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75,993</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98,139</w:t>
            </w:r>
          </w:p>
        </w:tc>
      </w:tr>
      <w:tr>
        <w:trPr>
          <w:trHeight w:val="33"/>
        </w:trPr>
        <w:tc>
          <w:tcPr>
            <w:tcW w:w="1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-445135</wp:posOffset>
            </wp:positionH>
            <wp:positionV relativeFrom="paragraph">
              <wp:posOffset>-8255</wp:posOffset>
            </wp:positionV>
            <wp:extent cx="10979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-445135</wp:posOffset>
            </wp:positionH>
            <wp:positionV relativeFrom="paragraph">
              <wp:posOffset>-1054100</wp:posOffset>
            </wp:positionV>
            <wp:extent cx="3404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60" w:space="600"/>
            <w:col w:w="4660"/>
          </w:cols>
          <w:pgMar w:left="240" w:top="584"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4"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Note 17: Quarterly Results (Unaudited)</w:t>
      </w:r>
    </w:p>
    <w:p>
      <w:pPr>
        <w:sectPr>
          <w:pgSz w:w="11900" w:h="16838" w:orient="portrait"/>
          <w:cols w:equalWidth="0" w:num="1">
            <w:col w:w="11420"/>
          </w:cols>
          <w:pgMar w:left="240" w:top="6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2016</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Statement of operations data (unaudited):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 attributable to Itron, Inc.</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Basic</w:t>
      </w:r>
      <w:r>
        <w:rPr>
          <w:rFonts w:ascii="Arial" w:cs="Arial" w:eastAsia="Arial" w:hAnsi="Arial"/>
          <w:sz w:val="8"/>
          <w:szCs w:val="8"/>
          <w:color w:val="auto"/>
        </w:rPr>
        <w:t>(1)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Diluted</w:t>
      </w:r>
      <w:r>
        <w:rPr>
          <w:rFonts w:ascii="Arial" w:cs="Arial" w:eastAsia="Arial" w:hAnsi="Arial"/>
          <w:sz w:val="8"/>
          <w:szCs w:val="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2015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4"/>
          <w:szCs w:val="14"/>
          <w:i w:val="1"/>
          <w:iCs w:val="1"/>
          <w:color w:val="auto"/>
        </w:rPr>
        <w:t>Statement of operations data (unaudited):</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Gross profit</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Net income (loss) attributable to Itron, Inc.</w:t>
      </w:r>
    </w:p>
    <w:p>
      <w:pPr>
        <w:spacing w:after="0" w:line="35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Basic</w:t>
      </w:r>
      <w:r>
        <w:rPr>
          <w:rFonts w:ascii="Arial" w:cs="Arial" w:eastAsia="Arial" w:hAnsi="Arial"/>
          <w:sz w:val="8"/>
          <w:szCs w:val="8"/>
          <w:color w:val="auto"/>
        </w:rPr>
        <w:t>(1)</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3"/>
          <w:szCs w:val="13"/>
          <w:color w:val="auto"/>
        </w:rPr>
        <w:t>Earnings (loss) per common share - Diluted</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Second Quarter</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Fourth Quarter</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44"/>
        </w:trPr>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0" w:type="dxa"/>
            <w:vAlign w:val="bottom"/>
            <w:gridSpan w:val="5"/>
          </w:tcPr>
          <w:p>
            <w:pPr>
              <w:jc w:val="right"/>
              <w:ind w:right="1088"/>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497,590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513,024</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506,859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495,713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2,013,186</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163,203</w:t>
            </w:r>
          </w:p>
        </w:tc>
        <w:tc>
          <w:tcPr>
            <w:tcW w:w="2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169,705</w:t>
            </w:r>
          </w:p>
        </w:tc>
        <w:tc>
          <w:tcPr>
            <w:tcW w:w="26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170,749</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156,663</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660,320</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10,089</w:t>
            </w:r>
          </w:p>
        </w:tc>
        <w:tc>
          <w:tcPr>
            <w:tcW w:w="2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19,917</w:t>
            </w:r>
          </w:p>
        </w:tc>
        <w:tc>
          <w:tcPr>
            <w:tcW w:w="260" w:type="dxa"/>
            <w:vAlign w:val="bottom"/>
          </w:tcPr>
          <w:p>
            <w:pPr>
              <w:spacing w:after="0"/>
              <w:rPr>
                <w:sz w:val="23"/>
                <w:szCs w:val="23"/>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(9,885)</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11,649</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31,770</w:t>
            </w:r>
          </w:p>
        </w:tc>
      </w:tr>
      <w:tr>
        <w:trPr>
          <w:trHeight w:val="5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0.27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0.83</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0.26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0.52</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(0.26)</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0.30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0.82</w:t>
            </w:r>
          </w:p>
        </w:tc>
      </w:tr>
      <w:tr>
        <w:trPr>
          <w:trHeight w:val="762"/>
        </w:trPr>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Second Quarter</w:t>
            </w: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Third Quarter</w:t>
            </w: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Fourth Quarter</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 Year</w:t>
            </w:r>
          </w:p>
        </w:tc>
      </w:tr>
      <w:tr>
        <w:trPr>
          <w:trHeight w:val="244"/>
        </w:trPr>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0" w:type="dxa"/>
            <w:vAlign w:val="bottom"/>
            <w:gridSpan w:val="5"/>
          </w:tcPr>
          <w:p>
            <w:pPr>
              <w:jc w:val="right"/>
              <w:ind w:right="1088"/>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10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446,746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470,811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469,528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496,448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1,883,533</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138,422</w:t>
            </w:r>
          </w:p>
        </w:tc>
        <w:tc>
          <w:tcPr>
            <w:tcW w:w="260" w:type="dxa"/>
            <w:vAlign w:val="bottom"/>
          </w:tcPr>
          <w:p>
            <w:pPr>
              <w:spacing w:after="0"/>
              <w:rPr>
                <w:sz w:val="23"/>
                <w:szCs w:val="23"/>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118,554</w:t>
            </w:r>
          </w:p>
        </w:tc>
        <w:tc>
          <w:tcPr>
            <w:tcW w:w="26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147,290</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152,419</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556,685</w:t>
            </w:r>
          </w:p>
        </w:tc>
      </w:tr>
      <w:tr>
        <w:trPr>
          <w:trHeight w:val="270"/>
        </w:trPr>
        <w:tc>
          <w:tcPr>
            <w:tcW w:w="2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5,398</w:t>
            </w:r>
          </w:p>
        </w:tc>
        <w:tc>
          <w:tcPr>
            <w:tcW w:w="26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(14,346)</w:t>
            </w:r>
          </w:p>
        </w:tc>
        <w:tc>
          <w:tcPr>
            <w:tcW w:w="260" w:type="dxa"/>
            <w:vAlign w:val="bottom"/>
          </w:tcPr>
          <w:p>
            <w:pPr>
              <w:spacing w:after="0"/>
              <w:rPr>
                <w:sz w:val="23"/>
                <w:szCs w:val="23"/>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12,640</w:t>
            </w:r>
          </w:p>
        </w:tc>
        <w:tc>
          <w:tcPr>
            <w:tcW w:w="24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8,986</w:t>
            </w:r>
          </w:p>
        </w:tc>
        <w:tc>
          <w:tcPr>
            <w:tcW w:w="34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12,678</w:t>
            </w:r>
          </w:p>
        </w:tc>
      </w:tr>
      <w:tr>
        <w:trPr>
          <w:trHeight w:val="513"/>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(0.37)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0.33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0.33</w:t>
            </w:r>
          </w:p>
        </w:tc>
      </w:tr>
      <w:tr>
        <w:trPr>
          <w:trHeight w:val="270"/>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0.14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(0.37)</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0.33</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0.23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-3138805</wp:posOffset>
            </wp:positionV>
            <wp:extent cx="720344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-2795905</wp:posOffset>
            </wp:positionV>
            <wp:extent cx="720344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-2470150</wp:posOffset>
            </wp:positionV>
            <wp:extent cx="720344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-1003935</wp:posOffset>
            </wp:positionV>
            <wp:extent cx="720344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-660400</wp:posOffset>
            </wp:positionV>
            <wp:extent cx="720344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-334645</wp:posOffset>
            </wp:positionV>
            <wp:extent cx="720344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164" w:lineRule="exact"/>
        <w:rPr>
          <w:sz w:val="20"/>
          <w:szCs w:val="20"/>
          <w:color w:val="auto"/>
        </w:rPr>
      </w:pPr>
    </w:p>
    <w:p>
      <w:pPr>
        <w:sectPr>
          <w:pgSz w:w="11900" w:h="16838" w:orient="portrait"/>
          <w:cols w:equalWidth="0" w:num="2">
            <w:col w:w="3040" w:space="640"/>
            <w:col w:w="7740"/>
          </w:cols>
          <w:pgMar w:left="240" w:top="634" w:right="239" w:bottom="1440" w:gutter="0" w:footer="0" w:header="0"/>
          <w:type w:val="continuous"/>
        </w:sectPr>
      </w:pPr>
    </w:p>
    <w:p>
      <w:pPr>
        <w:ind w:left="340" w:right="20" w:hanging="332"/>
        <w:spacing w:after="0" w:line="217" w:lineRule="auto"/>
        <w:tabs>
          <w:tab w:leader="none" w:pos="340" w:val="left"/>
        </w:tabs>
        <w:numPr>
          <w:ilvl w:val="0"/>
          <w:numId w:val="25"/>
        </w:numPr>
        <w:rPr>
          <w:rFonts w:ascii="Arial" w:cs="Arial" w:eastAsia="Arial" w:hAnsi="Arial"/>
          <w:sz w:val="22"/>
          <w:szCs w:val="22"/>
          <w:color w:val="auto"/>
          <w:vertAlign w:val="superscript"/>
        </w:rPr>
      </w:pPr>
      <w:r>
        <w:rPr>
          <w:rFonts w:ascii="Arial" w:cs="Arial" w:eastAsia="Arial" w:hAnsi="Arial"/>
          <w:sz w:val="16"/>
          <w:szCs w:val="16"/>
          <w:color w:val="auto"/>
        </w:rPr>
        <w:t>The sum of the quarterly EPS data presented in the table may not equal the annual results due to rounding and the impact of dilutive securities on the annual versus the quarterly EPS calculations.</w:t>
      </w:r>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2016, we announced the 2016 Projects to restructure various company activities in order to improve operational efficiencies, reduce expenses and improve competiveness. As a result, we recognized $40.0 million and $7.8 million in restructuring costs during the third and fourth quarters of 2016, respectively, related to the 2016 Projects.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2015, management concluded earnings fell below the threshold at which incentive compensation was appropriate. As a result, $13.3 million of previously accrued compensation expense was reversed in the fourth quarter of 2015.</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second quarter of 2015, we concluded it was necessary to issue a product replacement notification to customers of our Water segment who had purchased certain communication modules manufactured between July 2013 and December 2014. We determined that a component of the modules was failing prematurely. As a result, we recognized a warranty charge of $23.6 million during the second quarter of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February 23, 2017, Itron's Board of Directors authorized a new repurchase program of up to $50 million of our common stock over a 12-month period, beginning February 23, 2017. Repurchases are made in the open market or in privately negotiated transactions and in accordance with applicable securities laws. Repurchases are subject to the Company's alternative uses of capital as well as financial, market, and industry conditions.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634" w:right="239" w:bottom="1440" w:gutter="0" w:footer="0" w:header="0"/>
          <w:type w:val="continuous"/>
        </w:sectPr>
      </w:pPr>
    </w:p>
    <w:bookmarkStart w:id="91" w:name="page92"/>
    <w:bookmarkEnd w:id="91"/>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2016, or in any period subsequent to such date, through the date of this report.</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2016,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(2013 Framework). Based on our evaluation under the 2013</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management concluded that our internal control over financial reporting was effective as of December 31, 2016.</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Deloitte &amp; Touche LLP, an independent registered public accounting firm, as stated in their report that is included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to the shared services center in a staged approach. The transition to shared services is ongoing, and we believe the related changes to processes and internal control will allow us to be more efficient and further enhance our internal control over financial reporting.</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these changes and the remediation of the prior year material weakness noted below, there have been no other changes in our internal control over financial reporting during the three months ended December 31, 2016 that materially affected, or are reasonably likely to materially affect,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prior year material weakness in internal control over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Item 9A of the Annual Report on Form 10-K for the fiscal year ended December 31, 2015, and for each interim period in Item 4 of our Quarterly Reports on Form 10-Q for the quarters ended March 31, June 30, and September 30, 2016 we previously did not maintain effective internal controls over financial reporting, specifically relating to our revenue processes and controls to determine whether vendor specific objective evidence (VSOE) of fair value could be demonstrated for substantially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26"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auto"/>
        </w:rPr>
        <w:t>all maintenance contracts associated with certain software solutions and whether software was essential to the functionality of certain hardware.</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2016, we completed our remediation of the prior year material weakness in our internal controls over financial reporting. This remediation included the following:</w:t>
      </w:r>
    </w:p>
    <w:p>
      <w:pPr>
        <w:spacing w:after="0" w:line="170" w:lineRule="exact"/>
        <w:rPr>
          <w:sz w:val="20"/>
          <w:szCs w:val="20"/>
          <w:color w:val="auto"/>
        </w:rPr>
      </w:pPr>
    </w:p>
    <w:p>
      <w:pPr>
        <w:ind w:left="580" w:hanging="329"/>
        <w:spacing w:after="0" w:line="25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222222"/>
        </w:rPr>
        <w:t>Performing a revenue controls gap assessment and root cause analysis with the assistance of external advisers and developing detailed remediation plans for all gaps identified;</w:t>
      </w:r>
    </w:p>
    <w:p>
      <w:pPr>
        <w:spacing w:after="0" w:line="1" w:lineRule="exact"/>
        <w:rPr>
          <w:rFonts w:ascii="Arial" w:cs="Arial" w:eastAsia="Arial" w:hAnsi="Arial"/>
          <w:sz w:val="18"/>
          <w:szCs w:val="18"/>
          <w:color w:val="auto"/>
        </w:rPr>
      </w:pPr>
    </w:p>
    <w:p>
      <w:pPr>
        <w:ind w:left="580" w:hanging="329"/>
        <w:spacing w:after="0"/>
        <w:tabs>
          <w:tab w:leader="none" w:pos="580" w:val="left"/>
        </w:tabs>
        <w:numPr>
          <w:ilvl w:val="0"/>
          <w:numId w:val="26"/>
        </w:numPr>
        <w:rPr>
          <w:rFonts w:ascii="Arial" w:cs="Arial" w:eastAsia="Arial" w:hAnsi="Arial"/>
          <w:sz w:val="18"/>
          <w:szCs w:val="18"/>
          <w:color w:val="222222"/>
        </w:rPr>
      </w:pPr>
      <w:r>
        <w:rPr>
          <w:rFonts w:ascii="Arial" w:cs="Arial" w:eastAsia="Arial" w:hAnsi="Arial"/>
          <w:sz w:val="18"/>
          <w:szCs w:val="18"/>
          <w:color w:val="auto"/>
        </w:rPr>
        <w:t>Implementing a more precise VSOE analysis to determine fair value for Itron’s software products;</w:t>
      </w:r>
    </w:p>
    <w:p>
      <w:pPr>
        <w:spacing w:after="0" w:line="9" w:lineRule="exact"/>
        <w:rPr>
          <w:rFonts w:ascii="Arial" w:cs="Arial" w:eastAsia="Arial" w:hAnsi="Arial"/>
          <w:sz w:val="18"/>
          <w:szCs w:val="18"/>
          <w:color w:val="222222"/>
        </w:rPr>
      </w:pPr>
    </w:p>
    <w:p>
      <w:pPr>
        <w:ind w:left="580" w:hanging="329"/>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Implementing additional revenue internal controls to more effectively monitor complex arrangements; including those containing software elements;</w:t>
      </w:r>
    </w:p>
    <w:p>
      <w:pPr>
        <w:spacing w:after="0" w:line="32" w:lineRule="exact"/>
        <w:rPr>
          <w:rFonts w:ascii="Arial" w:cs="Arial" w:eastAsia="Arial" w:hAnsi="Arial"/>
          <w:sz w:val="16"/>
          <w:szCs w:val="16"/>
          <w:color w:val="auto"/>
        </w:rPr>
      </w:pPr>
    </w:p>
    <w:p>
      <w:pPr>
        <w:ind w:left="580" w:hanging="32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Updating revenue recognition policies and procedures;</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Hiring additional resources with technical revenue recognition accounting expertise;</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Completion of training for revenue accounting employees and other employees directly associated with sales contracts; and</w:t>
      </w:r>
    </w:p>
    <w:p>
      <w:pPr>
        <w:spacing w:after="0" w:line="9" w:lineRule="exact"/>
        <w:rPr>
          <w:rFonts w:ascii="Arial" w:cs="Arial" w:eastAsia="Arial" w:hAnsi="Arial"/>
          <w:sz w:val="18"/>
          <w:szCs w:val="18"/>
          <w:color w:val="auto"/>
        </w:rPr>
      </w:pPr>
    </w:p>
    <w:p>
      <w:pPr>
        <w:ind w:left="580" w:hanging="329"/>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Engaging external advisers to assist with technical matters related to complex sales contracts.</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implementation and monitoring of these enhancements in internal controls over financial reporting, the Company concluded that the material weakness as described above was remediated as of December 31, 2016.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530"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Itron, Inc. and subsidiaries (the “Company”) as of December 31, 2016,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w:t>
      </w:r>
    </w:p>
    <w:p>
      <w:pPr>
        <w:spacing w:after="0" w:line="9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2016, based on the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4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 as of and for the year ended December 31, 2016 of the Company and our report dated February 28, 2017 expressed an unqualified opinion on those financial statements and financial statement schedule.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64" w:right="239" w:bottom="1440" w:gutter="0" w:footer="0" w:header="0"/>
        </w:sectPr>
      </w:pPr>
    </w:p>
    <w:bookmarkStart w:id="94" w:name="page95"/>
    <w:bookmarkEnd w:id="94"/>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Departure of Directors or Certain Officers; Election of Directors; Appointment of Certain Officers; Compensatory Arrangements of Certain Officers</w:t>
      </w:r>
    </w:p>
    <w:p>
      <w:pPr>
        <w:spacing w:after="0" w:line="237" w:lineRule="exact"/>
        <w:rPr>
          <w:sz w:val="20"/>
          <w:szCs w:val="20"/>
          <w:color w:val="auto"/>
        </w:rPr>
      </w:pPr>
    </w:p>
    <w:p>
      <w:pPr>
        <w:jc w:val="both"/>
        <w:ind w:left="340" w:hanging="332"/>
        <w:spacing w:after="0" w:line="272"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February 23, 2017, Jon Eliassen and Charlie Gaylord, each members of the Board of Itron, Inc. (the “Company”) informed the Board that they will not stand for re-election and will retire at the Company’s next annual general meeting. Mr. Eliassen also serves as a member of the Corporate Governance Committee and the Value Enhancement Committee. Mr. Gaylord also serves as a member of the Audit/Finance Committee and the Corporate Governance Committee. There were no disagreements with the Company on any matter related to the Company’s operations, policies or practices that led to Mr. Eliassen’s or Mr. Gaylord’s decision to retire from the Board. Both directors plan to continue serving on the Board until the Company’s next annual general meeting in the second quarter of 2017. The Company would like to thank each of Mr. Eliassen and Mr. Gaylord for their many contributions to the Company and wish them the best in their future endeavors.</w:t>
      </w:r>
    </w:p>
    <w:p>
      <w:pPr>
        <w:spacing w:after="0" w:line="177"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February 23, 2017, the Board of the Company authorized the forms of Performance Restricted Share Unit Award Agreement (the “PRSU Agreement”), Stock Option Agreement (the “Stock Option Agreement”) and Restricted Share Unit Award Agreement (the “RSU Agreement” and collectively, the “Award Agreements”) to be used for grants under the Amended and Restated Itron, Inc. 2010 Stock Incentive Plan to, among others, the Company’s executives covered by Section 16 of the Securities Exchange Act of 1934.</w:t>
      </w:r>
    </w:p>
    <w:p>
      <w:pPr>
        <w:spacing w:after="0" w:line="186" w:lineRule="exact"/>
        <w:rPr>
          <w:rFonts w:ascii="Arial" w:cs="Arial" w:eastAsia="Arial" w:hAnsi="Arial"/>
          <w:sz w:val="18"/>
          <w:szCs w:val="18"/>
          <w:color w:val="auto"/>
        </w:rPr>
      </w:pPr>
    </w:p>
    <w:p>
      <w:pPr>
        <w:jc w:val="both"/>
        <w:ind w:left="340"/>
        <w:spacing w:after="0" w:line="285" w:lineRule="auto"/>
        <w:rPr>
          <w:rFonts w:ascii="Arial" w:cs="Arial" w:eastAsia="Arial" w:hAnsi="Arial"/>
          <w:sz w:val="18"/>
          <w:szCs w:val="18"/>
          <w:color w:val="auto"/>
        </w:rPr>
      </w:pPr>
      <w:r>
        <w:rPr>
          <w:rFonts w:ascii="Arial" w:cs="Arial" w:eastAsia="Arial" w:hAnsi="Arial"/>
          <w:sz w:val="16"/>
          <w:szCs w:val="16"/>
          <w:color w:val="auto"/>
        </w:rPr>
        <w:t>The PRSU Agreement provides for an award of a target number of restricted share units based on the Company’s achievement of specified financial performance goals (performance conditions) and total shareholder return (TSR) over a three year period relative to a peer group (market condition). Common shares are delivered to the participant only if the performance conditions have been achieved and certified by the Compensation Committee, and the participant has become vested in the restricted share units. The actual number of shares to be earned in each performance period ranges between 0% and 160% of the target amount as determined by the achievement of the performance conditions. At the end of the performance periods, if the performance conditions are achieved at or above threshold, the number of shares earned is further adjusted by a TSR multiplier payout percentage, which ranges between 75% and 125%, based on the market condition. Therefore, based on the attainment of the performance and market conditions, the actual number of shares that vest may range from 0% to 200% of the target amount. As soon as practicable following the last day of the performance period, the Compensation Committee will certify the extent to which the performance and market conditions have been achieved and the corresponding multiplier. Subject to continued employment with the Company, or except as otherwise provided in the PRSU Agreement, the restricted share units delivered under the PRSU Agreement, if any, will vest on the third anniversary of the award date. Under the terms of the PRSU Agreement, upon termination due to death or disability, the award will continue to vest subject to actual achievement of the performance goals after the performance period ending in the year of death or disability. Upon termination, due to retirement after the second anniversary of the award date, the award will continue to vest subject to actual achievement of the performance and market conditions. In the event of a change in control where the award is not assumed by the acquirer, the performance period will terminate on the date of the change in control and will vest at the greater of the target number of PRSUs or the number of PRSUs based on actual achievement of the performance and market conditions for the year in which the change in control occurs.</w:t>
      </w:r>
    </w:p>
    <w:p>
      <w:pPr>
        <w:spacing w:after="0" w:line="177"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7"/>
          <w:szCs w:val="17"/>
          <w:color w:val="auto"/>
        </w:rPr>
        <w:t>The Stock Option Agreement and RSU Agreement generally provide for vesting of one third of the applicable award on each of the first, second and third anniversaries of the date of grant, subject to the participant’s continued employment with the Company. Upon termination of employment due to death or disability, awards under the Stock Option Agreement and RSU Agreement will become vested in full. Upon termination of employment due to retirement after the second anniversary of the award date, awards under the Stock Option Agreement and RSU Agreement will continue to vest over the remaining vesting schedule until fully vested. Vested options under the Stock Option Agreement are exercisable at any time before the earliest to occur of: (i) the tenth anniversary of the date of grant, (ii) in the event of termination of employment due to retirement, the earlier to occur of the third anniversary of the retirement date or the tenth anniversary of the grant date, (iii) in the event of termination of employment due to death or disability, the tenth anniversary of the date of grant, (iv) ninety days following termination of employment for any reason other than cause or (v) immediately upon notification of termination of employment for cause. Under the RSU Agreement, participants will receive one common share of the Company for each vested restricted share unit as soon as practicable following the applicable vesting date.</w:t>
      </w:r>
    </w:p>
    <w:p>
      <w:pPr>
        <w:spacing w:after="0" w:line="177"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Each of the Award Agreements provides that in the event the participant’s employment with the Company is terminated by the Company without cause or by the participant for good reason, in each case within twenty-four months of a change in control, all unvested awards will become immediately vested. For purposes of the Award Agreements, the definition of “good reason” is the definition contained in the Award Agreements. If the Award Agreements are not assumed or substituted under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64" w:right="239" w:bottom="1440" w:gutter="0" w:footer="0" w:header="0"/>
        </w:sectPr>
      </w:pPr>
    </w:p>
    <w:bookmarkStart w:id="95" w:name="page96"/>
    <w:bookmarkEnd w:id="95"/>
    <w:p>
      <w:pPr>
        <w:jc w:val="both"/>
        <w:spacing w:after="0" w:line="277" w:lineRule="auto"/>
        <w:rPr>
          <w:sz w:val="20"/>
          <w:szCs w:val="20"/>
          <w:color w:val="auto"/>
        </w:rPr>
      </w:pPr>
      <w:r>
        <w:rPr>
          <w:rFonts w:ascii="Arial" w:cs="Arial" w:eastAsia="Arial" w:hAnsi="Arial"/>
          <w:sz w:val="18"/>
          <w:szCs w:val="18"/>
          <w:color w:val="auto"/>
        </w:rPr>
        <w:t>the terms of the Award Agreements in connection with a change in control, all unvested portions of the awards will become vested immediately upon the occurrence of the change in control.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Award Agreements also contain covenants regarding confidential information, non-solicitation and non-competition that are effective following termination due to retirement. If a participant breaches any of these covenants during the restricted period following the date of termination, any unvested portion of the award will be forfeited.</w:t>
      </w: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80"/>
          </w:cols>
          <w:pgMar w:left="580" w:top="36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12, 2017 (the 2017 Proxy Statement) sets forth certain information with regard to our directors as required by Item 401 of Regulation S-K and is incorporated herein by reference.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“Executive Officers” in Part I of this Annual Report on Form 10-K.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2017 Proxy Statement sets forth certain information as required by Item 405 of Regulation S-K and is incorporated herein by reference.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2017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2017, as set forth by Item 407(c)(3) of Regulation S-K.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2017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2017 Proxy Statement set forth certain information with respect to the compensation of directors and management of Itron as required by Item 402 of Regulation S-K and are incorporated herein by reference.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2017 Proxy Statement sets forth certain information regarding members of the Compensation Committee required by Item 407(e)(4) of Regulation S-K and is incorporated herein by reference.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2017 Proxy Statement sets forth certain information required by Item 407(e)(5) of Regulation S-K and is incorporated herein by reference.</w:t>
      </w:r>
    </w:p>
    <w:p>
      <w:pPr>
        <w:spacing w:after="0" w:line="166" w:lineRule="exact"/>
        <w:rPr>
          <w:sz w:val="20"/>
          <w:szCs w:val="20"/>
          <w:color w:val="auto"/>
        </w:rPr>
      </w:pPr>
    </w:p>
    <w:p>
      <w:pPr>
        <w:jc w:val="both"/>
        <w:ind w:left="1060" w:hanging="1052"/>
        <w:spacing w:after="0" w:line="282" w:lineRule="auto"/>
        <w:tabs>
          <w:tab w:leader="none" w:pos="104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2017 Proxy Statement sets forth certain information required by Item 201(d) of Regulation S-K and is incorporated herein by reference.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2017 Proxy Statement sets forth certain information with respect to the ownership of our common stock as required by Item 403 of Regulation S-K and is incorporated herein by reference.</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2017 Proxy Statement sets forth certain information required by Item 404 of Regulation S-K and is incorporated herein by reference.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2017 Proxy Statement sets forth certain information with respect to director independence as required by Item 407(a) of Regulation S-K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64" w:right="239" w:bottom="1440" w:gutter="0" w:footer="0" w:header="0"/>
        </w:sectPr>
      </w:pPr>
    </w:p>
    <w:bookmarkStart w:id="97" w:name="page98"/>
    <w:bookmarkEnd w:id="97"/>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2017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364" w:right="2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Statement Schedules not listed above have been omitted because of the absence of conditions under which they are required or because the required information is included in the consolidated financial statements or the notes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Number</w:t>
            </w:r>
          </w:p>
        </w:tc>
        <w:tc>
          <w:tcPr>
            <w:tcW w:w="10040" w:type="dxa"/>
            <w:vAlign w:val="bottom"/>
          </w:tcPr>
          <w:p>
            <w:pPr>
              <w:ind w:left="4320"/>
              <w:spacing w:after="0"/>
              <w:rPr>
                <w:sz w:val="20"/>
                <w:szCs w:val="20"/>
                <w:color w:val="auto"/>
              </w:rPr>
            </w:pPr>
            <w:r>
              <w:rPr>
                <w:rFonts w:ascii="Arial" w:cs="Arial" w:eastAsia="Arial" w:hAnsi="Arial"/>
                <w:sz w:val="14"/>
                <w:szCs w:val="14"/>
                <w:b w:val="1"/>
                <w:bCs w:val="1"/>
                <w:color w:val="auto"/>
              </w:rPr>
              <w:t>Description of Exhibits</w:t>
            </w: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Articles of Incorporation of Itron, Inc. (Filed as Exhibit 3.1 to Itron, Inc.’s Annual Report on Form 10-K, filed on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27, 2003)</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Bylaws of Itron, Inc. (Filed as Exhibit 3.2 to Itron, Inc.'s Annual Report on Form 10-K, filed on June 30, 2016)</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Credit Agreement dated June 23, 2015 among Itron, Inc. and a syndicate of banks led by Wells Fargo Bank,</w:t>
            </w: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National Association, JPMorgan Chase Bank, N.A., J.P. Morgan Europe Limited, and BNP Paribas. (Filed as Exhibit 4.1 to Itron, Inc.’s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filed on June 23, 2015)</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First Amendment to Security Agreement dated June 23, 2015 among Itron, Inc. and Wells Fargo Bank, National Association. (Filed as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Exhibit 4.2 to Itron, Inc.’s Current Report on Form 8-K, filed on June 23, 2015)</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Amended and Restated Change in Control Severance Agreement for Executive Officers. (Filed as Exhibit 10.1 to Itron, Inc.’s</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Annual Report on Form 10-K, filed on February 22, 2013)</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Schedule of certain executive officers who are parties to Change in Control Severance Agreements with Itron, Inc. (filed with this report)</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Indemnification Agreements between Itron, Inc. and certain directors and officers. (Filed as Exhibit 10.9 to Itron, Inc.’s Annual</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10-K, filed on March 30, 2000)</w:t>
            </w: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Schedule of directors and executive officers who are parties to Indemnification Agreements with Itron, Inc. (filed with this report)</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2000 Stock Incentive Plan. (Filed as Appendix A to Itron, Inc.’s Proxy Statement for the 2007 Annual Meeting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26, 2007)</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2010 Stock Incentive Plan. (Filed as Appendix A to Itron, Inc.’s Proxy Statement for the 2014 Annual Meeting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13,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Rules of Itron Inc.'s Amended and Restated 2010 Stock Incentive Plan for the grant of Restricted Stock Unit (RSU's) to participants in</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France. (Filed as Exhibit 10.6 to Itron Inc.'s Quarterly Report on Form 10-Q, filed on August 8, 2014)</w:t>
            </w: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Executive Management Incentive Plan. (Filed as Appendix B to Itron, Inc.’s Proxy Statement for the 2010 Annual Meeting of</w:t>
            </w: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17, 2010)</w:t>
            </w:r>
          </w:p>
        </w:tc>
      </w:tr>
      <w:tr>
        <w:trPr>
          <w:trHeight w:val="702"/>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20"/>
          </w:cols>
          <w:pgMar w:left="240" w:top="364" w:right="239" w:bottom="1440" w:gutter="0" w:footer="0" w:header="0"/>
        </w:sectPr>
      </w:pPr>
    </w:p>
    <w:bookmarkStart w:id="99" w:name="page100"/>
    <w:bookmarkEnd w:id="99"/>
    <w:p>
      <w:pPr>
        <w:spacing w:after="0"/>
        <w:tabs>
          <w:tab w:leader="none" w:pos="55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23495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80" w:top="589" w:right="279" w:bottom="1440" w:gutter="0" w:footer="0" w:header="0"/>
        </w:sectPr>
      </w:pPr>
    </w:p>
    <w:p>
      <w:pPr>
        <w:spacing w:after="0" w:line="29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1"/>
              </w:rPr>
              <w:t>10.9</w:t>
            </w:r>
          </w:p>
        </w:tc>
        <w:tc>
          <w:tcPr>
            <w:tcW w:w="10240" w:type="dxa"/>
            <w:vAlign w:val="bottom"/>
          </w:tcPr>
          <w:p>
            <w:pPr>
              <w:ind w:left="280"/>
              <w:spacing w:after="0"/>
              <w:rPr>
                <w:sz w:val="20"/>
                <w:szCs w:val="20"/>
                <w:color w:val="auto"/>
              </w:rPr>
            </w:pPr>
            <w:r>
              <w:rPr>
                <w:rFonts w:ascii="Arial" w:cs="Arial" w:eastAsia="Arial" w:hAnsi="Arial"/>
                <w:sz w:val="18"/>
                <w:szCs w:val="18"/>
                <w:color w:val="auto"/>
                <w:w w:val="90"/>
              </w:rPr>
              <w:t>Terms of the Amended and Restated Equity Grant Program for Nonemployee Directors under the Itron, Inc. Amended and Restated 2000</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Stock Incentive Plan. (Filed as Exhibit 10.4 to Itron, Inc.’s Annual Report on Form 10-K, filed on February 26, 2008)</w:t>
            </w:r>
          </w:p>
        </w:tc>
      </w:tr>
      <w:tr>
        <w:trPr>
          <w:trHeight w:val="485"/>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88"/>
              </w:rPr>
              <w:t>10.10</w:t>
            </w:r>
          </w:p>
        </w:tc>
        <w:tc>
          <w:tcPr>
            <w:tcW w:w="10240" w:type="dxa"/>
            <w:vAlign w:val="bottom"/>
          </w:tcPr>
          <w:p>
            <w:pPr>
              <w:ind w:left="280"/>
              <w:spacing w:after="0"/>
              <w:rPr>
                <w:sz w:val="20"/>
                <w:szCs w:val="20"/>
                <w:color w:val="auto"/>
              </w:rPr>
            </w:pPr>
            <w:r>
              <w:rPr>
                <w:rFonts w:ascii="Arial" w:cs="Arial" w:eastAsia="Arial" w:hAnsi="Arial"/>
                <w:sz w:val="18"/>
                <w:szCs w:val="18"/>
                <w:color w:val="auto"/>
                <w:w w:val="97"/>
              </w:rPr>
              <w:t>Form of Non-Qualified Stock Option Grant Notice and Agreement for Nonemployee Directors under the Itron, Inc. Amended and</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5"/>
              </w:rPr>
              <w:t>Restated 2000 Stock Incentive Plan. (Filed as Exhibit 10.9 to Itron, Inc.’s Annual Report on Form 10-K, filed on February 26, 2009)</w:t>
            </w:r>
          </w:p>
        </w:tc>
      </w:tr>
      <w:tr>
        <w:trPr>
          <w:trHeight w:val="485"/>
        </w:trPr>
        <w:tc>
          <w:tcPr>
            <w:tcW w:w="760" w:type="dxa"/>
            <w:vAlign w:val="bottom"/>
          </w:tcPr>
          <w:p>
            <w:pPr>
              <w:jc w:val="center"/>
              <w:ind w:right="150"/>
              <w:spacing w:after="0"/>
              <w:rPr>
                <w:sz w:val="20"/>
                <w:szCs w:val="20"/>
                <w:color w:val="auto"/>
              </w:rPr>
            </w:pPr>
            <w:r>
              <w:rPr>
                <w:rFonts w:ascii="Arial" w:cs="Arial" w:eastAsia="Arial" w:hAnsi="Arial"/>
                <w:sz w:val="18"/>
                <w:szCs w:val="18"/>
                <w:color w:val="auto"/>
                <w:w w:val="92"/>
              </w:rPr>
              <w:t>10.11*</w:t>
            </w:r>
          </w:p>
        </w:tc>
        <w:tc>
          <w:tcPr>
            <w:tcW w:w="10240" w:type="dxa"/>
            <w:vAlign w:val="bottom"/>
          </w:tcPr>
          <w:p>
            <w:pPr>
              <w:ind w:left="280"/>
              <w:spacing w:after="0"/>
              <w:rPr>
                <w:sz w:val="20"/>
                <w:szCs w:val="20"/>
                <w:color w:val="auto"/>
              </w:rPr>
            </w:pPr>
            <w:r>
              <w:rPr>
                <w:rFonts w:ascii="Arial" w:cs="Arial" w:eastAsia="Arial" w:hAnsi="Arial"/>
                <w:sz w:val="18"/>
                <w:szCs w:val="18"/>
                <w:color w:val="auto"/>
                <w:w w:val="94"/>
              </w:rPr>
              <w:t>Form of Stock Option Grant Notice and Agreement for use in connection with both incentive and non-qualified stock options granted</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2"/>
              </w:rPr>
              <w:t>under Itron, Inc.'s Amended and Restated 2000 Stock Incentive Plan. (Filed as Exhibit 10.6 to Itron, Inc.’s Current Report on Form 8-K,</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filed on February 18, 2010)</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10.12*</w:t>
            </w:r>
          </w:p>
        </w:tc>
        <w:tc>
          <w:tcPr>
            <w:tcW w:w="10240" w:type="dxa"/>
            <w:vAlign w:val="bottom"/>
          </w:tcPr>
          <w:p>
            <w:pPr>
              <w:ind w:left="280"/>
              <w:spacing w:after="0"/>
              <w:rPr>
                <w:sz w:val="20"/>
                <w:szCs w:val="20"/>
                <w:color w:val="auto"/>
              </w:rPr>
            </w:pPr>
            <w:r>
              <w:rPr>
                <w:rFonts w:ascii="Arial" w:cs="Arial" w:eastAsia="Arial" w:hAnsi="Arial"/>
                <w:sz w:val="18"/>
                <w:szCs w:val="18"/>
                <w:color w:val="auto"/>
                <w:w w:val="91"/>
              </w:rPr>
              <w:t>Form of RSU Award Notice and Agreement for U.S. Participants for use in connection with the Company’s Long-Term Performance Plan</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4"/>
              </w:rPr>
              <w:t>(LTPP) and issued under Itron, Inc.'s Amended and Restated 2000 Stock Incentive Plan. (Filed as Exhibit 10.1 to Itron, Inc.’s Current</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Report on Form 8-K, filed on February 18, 2010)</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10.13*</w:t>
            </w:r>
          </w:p>
        </w:tc>
        <w:tc>
          <w:tcPr>
            <w:tcW w:w="10240" w:type="dxa"/>
            <w:vAlign w:val="bottom"/>
          </w:tcPr>
          <w:p>
            <w:pPr>
              <w:ind w:left="280"/>
              <w:spacing w:after="0"/>
              <w:rPr>
                <w:sz w:val="20"/>
                <w:szCs w:val="20"/>
                <w:color w:val="auto"/>
              </w:rPr>
            </w:pPr>
            <w:r>
              <w:rPr>
                <w:rFonts w:ascii="Arial" w:cs="Arial" w:eastAsia="Arial" w:hAnsi="Arial"/>
                <w:sz w:val="18"/>
                <w:szCs w:val="18"/>
                <w:color w:val="auto"/>
                <w:w w:val="93"/>
              </w:rPr>
              <w:t>Form of RSU Award Notice and Agreement for International Participants (excluding France) for use in connection with the Company’s</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5"/>
              </w:rPr>
              <w:t>LTPP and issued under Itron, Inc.'s Amended and Restated 2000 Stock Incentive Plan. (Filed as Exhibit 10.2 to Itron, Inc.’s Current</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Report on Form 8-K, filed on February 18, 2010)</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10.14*</w:t>
            </w:r>
          </w:p>
        </w:tc>
        <w:tc>
          <w:tcPr>
            <w:tcW w:w="10240" w:type="dxa"/>
            <w:vAlign w:val="bottom"/>
          </w:tcPr>
          <w:p>
            <w:pPr>
              <w:ind w:left="280"/>
              <w:spacing w:after="0"/>
              <w:rPr>
                <w:sz w:val="20"/>
                <w:szCs w:val="20"/>
                <w:color w:val="auto"/>
              </w:rPr>
            </w:pPr>
            <w:r>
              <w:rPr>
                <w:rFonts w:ascii="Arial" w:cs="Arial" w:eastAsia="Arial" w:hAnsi="Arial"/>
                <w:sz w:val="18"/>
                <w:szCs w:val="18"/>
                <w:color w:val="auto"/>
                <w:w w:val="91"/>
              </w:rPr>
              <w:t>Form of RSU Award Notice and Agreement for Participants in France for use in connection with Itron, Inc.'s LTPP and issued under Itron,</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5"/>
              </w:rPr>
              <w:t>Inc.'s Amended and Restated 2000 Stock Incentive Plan. (Filed as Exhibit 10.3 to Itron, Inc.’s Current Report on Form 8-K, filed on</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February 18, 2010)</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10.15*</w:t>
            </w:r>
          </w:p>
        </w:tc>
        <w:tc>
          <w:tcPr>
            <w:tcW w:w="10240" w:type="dxa"/>
            <w:vAlign w:val="bottom"/>
          </w:tcPr>
          <w:p>
            <w:pPr>
              <w:ind w:left="280"/>
              <w:spacing w:after="0"/>
              <w:rPr>
                <w:sz w:val="20"/>
                <w:szCs w:val="20"/>
                <w:color w:val="auto"/>
              </w:rPr>
            </w:pPr>
            <w:r>
              <w:rPr>
                <w:rFonts w:ascii="Arial" w:cs="Arial" w:eastAsia="Arial" w:hAnsi="Arial"/>
                <w:sz w:val="18"/>
                <w:szCs w:val="18"/>
                <w:color w:val="auto"/>
                <w:w w:val="93"/>
              </w:rPr>
              <w:t>Form of RSU Award Notice and Agreement for all Participants (excluding France) for use in connection with Itron, Inc.'s Amended and</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6"/>
              </w:rPr>
              <w:t>Restated 2000 Stock Incentive Plan. (Filed as Exhibit 10.4 to Itron, Inc.’s Current Report on Form 8-K, filed on February 18, 2010)</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10.16*</w:t>
            </w:r>
          </w:p>
        </w:tc>
        <w:tc>
          <w:tcPr>
            <w:tcW w:w="10240" w:type="dxa"/>
            <w:vAlign w:val="bottom"/>
          </w:tcPr>
          <w:p>
            <w:pPr>
              <w:ind w:left="280"/>
              <w:spacing w:after="0"/>
              <w:rPr>
                <w:sz w:val="20"/>
                <w:szCs w:val="20"/>
                <w:color w:val="auto"/>
              </w:rPr>
            </w:pPr>
            <w:r>
              <w:rPr>
                <w:rFonts w:ascii="Arial" w:cs="Arial" w:eastAsia="Arial" w:hAnsi="Arial"/>
                <w:sz w:val="18"/>
                <w:szCs w:val="18"/>
                <w:color w:val="auto"/>
                <w:w w:val="91"/>
              </w:rPr>
              <w:t>Form of RSU Award Notice and Agreement for Participants in France for use in connection with Itron, Inc.'s Amended and Restated 2000</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Stock Incentive Plan. (Filed as Exhibit 10.5 to Itron, Inc.’s Current Report on Form 8-K, filed on February 18, 2010)</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10.17*</w:t>
            </w:r>
          </w:p>
        </w:tc>
        <w:tc>
          <w:tcPr>
            <w:tcW w:w="10240" w:type="dxa"/>
            <w:vAlign w:val="bottom"/>
          </w:tcPr>
          <w:p>
            <w:pPr>
              <w:ind w:left="280"/>
              <w:spacing w:after="0"/>
              <w:rPr>
                <w:sz w:val="20"/>
                <w:szCs w:val="20"/>
                <w:color w:val="auto"/>
              </w:rPr>
            </w:pPr>
            <w:r>
              <w:rPr>
                <w:rFonts w:ascii="Arial" w:cs="Arial" w:eastAsia="Arial" w:hAnsi="Arial"/>
                <w:sz w:val="18"/>
                <w:szCs w:val="18"/>
                <w:color w:val="auto"/>
                <w:w w:val="98"/>
              </w:rPr>
              <w:t>Form of Long Term Performance RSU Award Notice and Agreement for U.S. Participants for use in connection with Itron, Inc.'s</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2"/>
              </w:rPr>
              <w:t>Amended and Restated 2010 Stock Incentive Plan. (Filed as Exhibit 10.4 to Itron, Inc.’s Quarterly Report on Form 10-Q, filed on August</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6, 2014)</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10.18*</w:t>
            </w:r>
          </w:p>
        </w:tc>
        <w:tc>
          <w:tcPr>
            <w:tcW w:w="10240" w:type="dxa"/>
            <w:vAlign w:val="bottom"/>
          </w:tcPr>
          <w:p>
            <w:pPr>
              <w:ind w:left="280"/>
              <w:spacing w:after="0"/>
              <w:rPr>
                <w:sz w:val="20"/>
                <w:szCs w:val="20"/>
                <w:color w:val="auto"/>
              </w:rPr>
            </w:pPr>
            <w:r>
              <w:rPr>
                <w:rFonts w:ascii="Arial" w:cs="Arial" w:eastAsia="Arial" w:hAnsi="Arial"/>
                <w:sz w:val="18"/>
                <w:szCs w:val="18"/>
                <w:color w:val="auto"/>
                <w:w w:val="98"/>
              </w:rPr>
              <w:t>Form of Long Term Performance RSU Award Notice and Agreement for International Participants (excluding France) for use in</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2"/>
              </w:rPr>
              <w:t>connection with Itron, Inc.'s Amended and Restated 2010 Stock Incentive Plan. (Filed as Exhibit 10.19 to Itron, Inc.’s Annual Report on</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Form 10-K, filed on February 25, 2011)</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10.19*</w:t>
            </w:r>
          </w:p>
        </w:tc>
        <w:tc>
          <w:tcPr>
            <w:tcW w:w="10240" w:type="dxa"/>
            <w:vAlign w:val="bottom"/>
          </w:tcPr>
          <w:p>
            <w:pPr>
              <w:ind w:left="280"/>
              <w:spacing w:after="0"/>
              <w:rPr>
                <w:sz w:val="20"/>
                <w:szCs w:val="20"/>
                <w:color w:val="auto"/>
              </w:rPr>
            </w:pPr>
            <w:r>
              <w:rPr>
                <w:rFonts w:ascii="Arial" w:cs="Arial" w:eastAsia="Arial" w:hAnsi="Arial"/>
                <w:sz w:val="18"/>
                <w:szCs w:val="18"/>
                <w:color w:val="auto"/>
                <w:w w:val="94"/>
              </w:rPr>
              <w:t>Form of Long Term Performance RSU Award Notice and Agreement for Participants in France for use in connection with Itron, Inc.'s</w:t>
            </w:r>
          </w:p>
        </w:tc>
      </w:tr>
      <w:tr>
        <w:trPr>
          <w:trHeight w:val="216"/>
        </w:trPr>
        <w:tc>
          <w:tcPr>
            <w:tcW w:w="760" w:type="dxa"/>
            <w:vAlign w:val="bottom"/>
          </w:tcPr>
          <w:p>
            <w:pPr>
              <w:spacing w:after="0"/>
              <w:rPr>
                <w:sz w:val="18"/>
                <w:szCs w:val="18"/>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2"/>
              </w:rPr>
              <w:t>Amended and Restated 2010 Stock Incentive Plan. (Filed as Exhibit 10.5 to Itron, Inc.’s Quarterly Report on Form 10-Q, filed on August</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6, 2014)</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10.20*</w:t>
            </w:r>
          </w:p>
        </w:tc>
        <w:tc>
          <w:tcPr>
            <w:tcW w:w="10240" w:type="dxa"/>
            <w:vAlign w:val="bottom"/>
          </w:tcPr>
          <w:p>
            <w:pPr>
              <w:ind w:left="280"/>
              <w:spacing w:after="0"/>
              <w:rPr>
                <w:sz w:val="20"/>
                <w:szCs w:val="20"/>
                <w:color w:val="auto"/>
              </w:rPr>
            </w:pPr>
            <w:r>
              <w:rPr>
                <w:rFonts w:ascii="Arial" w:cs="Arial" w:eastAsia="Arial" w:hAnsi="Arial"/>
                <w:sz w:val="18"/>
                <w:szCs w:val="18"/>
                <w:color w:val="auto"/>
                <w:w w:val="93"/>
              </w:rPr>
              <w:t>Form of RSU Award Notice and Agreement for all Participants (excluding France) for use in connection with Itron, Inc.'s Amended and</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w w:val="96"/>
              </w:rPr>
              <w:t>Restated 2010 Stock Incentive Plan. (Filed as Exhibit 10.2 to Itron, Inc.’s Quarterly Report on Form 10-Q, filed on August 6, 2014)</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10.21*</w:t>
            </w:r>
          </w:p>
        </w:tc>
        <w:tc>
          <w:tcPr>
            <w:tcW w:w="10240" w:type="dxa"/>
            <w:vAlign w:val="bottom"/>
          </w:tcPr>
          <w:p>
            <w:pPr>
              <w:ind w:left="280"/>
              <w:spacing w:after="0"/>
              <w:rPr>
                <w:sz w:val="20"/>
                <w:szCs w:val="20"/>
                <w:color w:val="auto"/>
              </w:rPr>
            </w:pPr>
            <w:r>
              <w:rPr>
                <w:rFonts w:ascii="Arial" w:cs="Arial" w:eastAsia="Arial" w:hAnsi="Arial"/>
                <w:sz w:val="18"/>
                <w:szCs w:val="18"/>
                <w:color w:val="auto"/>
                <w:w w:val="91"/>
              </w:rPr>
              <w:t>Form of RSU Award Notice and Agreement for Participants in France for use in connection with Itron, Inc.'s Amended and Restated 2010</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Stock Incentive Plan. (Filed as Exhibit 10.3 to Itron, Inc.’s Quarterly Report on Form 10-Q, filed on August 6, 2014)</w:t>
            </w:r>
          </w:p>
        </w:tc>
      </w:tr>
      <w:tr>
        <w:trPr>
          <w:trHeight w:val="485"/>
        </w:trPr>
        <w:tc>
          <w:tcPr>
            <w:tcW w:w="760" w:type="dxa"/>
            <w:vAlign w:val="bottom"/>
          </w:tcPr>
          <w:p>
            <w:pPr>
              <w:jc w:val="center"/>
              <w:ind w:right="170"/>
              <w:spacing w:after="0"/>
              <w:rPr>
                <w:sz w:val="20"/>
                <w:szCs w:val="20"/>
                <w:color w:val="auto"/>
              </w:rPr>
            </w:pPr>
            <w:r>
              <w:rPr>
                <w:rFonts w:ascii="Arial" w:cs="Arial" w:eastAsia="Arial" w:hAnsi="Arial"/>
                <w:sz w:val="18"/>
                <w:szCs w:val="18"/>
                <w:color w:val="auto"/>
                <w:w w:val="95"/>
              </w:rPr>
              <w:t>10.22*</w:t>
            </w:r>
          </w:p>
        </w:tc>
        <w:tc>
          <w:tcPr>
            <w:tcW w:w="10240" w:type="dxa"/>
            <w:vAlign w:val="bottom"/>
          </w:tcPr>
          <w:p>
            <w:pPr>
              <w:ind w:left="280"/>
              <w:spacing w:after="0"/>
              <w:rPr>
                <w:sz w:val="20"/>
                <w:szCs w:val="20"/>
                <w:color w:val="auto"/>
              </w:rPr>
            </w:pPr>
            <w:r>
              <w:rPr>
                <w:rFonts w:ascii="Arial" w:cs="Arial" w:eastAsia="Arial" w:hAnsi="Arial"/>
                <w:sz w:val="18"/>
                <w:szCs w:val="18"/>
                <w:color w:val="auto"/>
                <w:w w:val="93"/>
              </w:rPr>
              <w:t>Form of RSU Award Notice and Agreement for Non-employee Directors for use in connection with Itron, Inc.'s Amended and Restated</w:t>
            </w:r>
          </w:p>
        </w:tc>
      </w:tr>
      <w:tr>
        <w:trPr>
          <w:trHeight w:val="230"/>
        </w:trPr>
        <w:tc>
          <w:tcPr>
            <w:tcW w:w="760" w:type="dxa"/>
            <w:vAlign w:val="bottom"/>
          </w:tcPr>
          <w:p>
            <w:pPr>
              <w:spacing w:after="0"/>
              <w:rPr>
                <w:sz w:val="20"/>
                <w:szCs w:val="20"/>
                <w:color w:val="auto"/>
              </w:rPr>
            </w:pPr>
          </w:p>
        </w:tc>
        <w:tc>
          <w:tcPr>
            <w:tcW w:w="10240" w:type="dxa"/>
            <w:vAlign w:val="bottom"/>
          </w:tcPr>
          <w:p>
            <w:pPr>
              <w:ind w:left="280"/>
              <w:spacing w:after="0"/>
              <w:rPr>
                <w:sz w:val="20"/>
                <w:szCs w:val="20"/>
                <w:color w:val="auto"/>
              </w:rPr>
            </w:pPr>
            <w:r>
              <w:rPr>
                <w:rFonts w:ascii="Arial" w:cs="Arial" w:eastAsia="Arial" w:hAnsi="Arial"/>
                <w:sz w:val="18"/>
                <w:szCs w:val="18"/>
                <w:color w:val="auto"/>
              </w:rPr>
              <w:t>2010 Stock Incentive Plan. (Filed as Exhibit 10.3 to Itron, Inc.’s Quarterly Report on Form 10-Q, filed on May 3,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80" w:top="589" w:right="279" w:bottom="1440" w:gutter="0" w:footer="0" w:header="0"/>
          <w:type w:val="continuous"/>
        </w:sectPr>
      </w:pPr>
    </w:p>
    <w:bookmarkStart w:id="100" w:name="page101"/>
    <w:bookmarkEnd w:id="100"/>
    <w:p>
      <w:pPr>
        <w:spacing w:after="0"/>
        <w:tabs>
          <w:tab w:leader="none" w:pos="55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23495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80" w:top="589" w:right="279" w:bottom="931" w:gutter="0" w:footer="0" w:header="0"/>
        </w:sectPr>
      </w:pPr>
    </w:p>
    <w:p>
      <w:pPr>
        <w:spacing w:after="0" w:line="29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5"/>
              </w:rPr>
              <w:t>10.23*</w:t>
            </w:r>
          </w:p>
        </w:tc>
        <w:tc>
          <w:tcPr>
            <w:tcW w:w="10180" w:type="dxa"/>
            <w:vAlign w:val="bottom"/>
          </w:tcPr>
          <w:p>
            <w:pPr>
              <w:ind w:left="220"/>
              <w:spacing w:after="0"/>
              <w:rPr>
                <w:sz w:val="20"/>
                <w:szCs w:val="20"/>
                <w:color w:val="auto"/>
              </w:rPr>
            </w:pPr>
            <w:r>
              <w:rPr>
                <w:rFonts w:ascii="Arial" w:cs="Arial" w:eastAsia="Arial" w:hAnsi="Arial"/>
                <w:sz w:val="18"/>
                <w:szCs w:val="18"/>
                <w:color w:val="auto"/>
                <w:w w:val="94"/>
              </w:rPr>
              <w:t>Form of Stock Option Grant Notice and Agreement for use in connection with both incentive and non-qualified stock options granted</w:t>
            </w:r>
          </w:p>
        </w:tc>
      </w:tr>
      <w:tr>
        <w:trPr>
          <w:trHeight w:val="216"/>
        </w:trPr>
        <w:tc>
          <w:tcPr>
            <w:tcW w:w="900" w:type="dxa"/>
            <w:vAlign w:val="bottom"/>
          </w:tcPr>
          <w:p>
            <w:pPr>
              <w:spacing w:after="0"/>
              <w:rPr>
                <w:sz w:val="18"/>
                <w:szCs w:val="18"/>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w w:val="91"/>
              </w:rPr>
              <w:t>under Itron, Inc.'s Amended and Restated 2010 Stock Incentive Plan. (Filed as Exhibit 10.1 to Itron, Inc's Quarterly Report on Form 10-Q,</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filed on August 6, 2014 - File No. 22418)</w:t>
            </w:r>
          </w:p>
        </w:tc>
      </w:tr>
      <w:tr>
        <w:trPr>
          <w:trHeight w:val="485"/>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5"/>
              </w:rPr>
              <w:t>10.24*</w:t>
            </w:r>
          </w:p>
        </w:tc>
        <w:tc>
          <w:tcPr>
            <w:tcW w:w="10180" w:type="dxa"/>
            <w:vAlign w:val="bottom"/>
          </w:tcPr>
          <w:p>
            <w:pPr>
              <w:ind w:left="220"/>
              <w:spacing w:after="0"/>
              <w:rPr>
                <w:sz w:val="20"/>
                <w:szCs w:val="20"/>
                <w:color w:val="auto"/>
              </w:rPr>
            </w:pPr>
            <w:r>
              <w:rPr>
                <w:rFonts w:ascii="Arial" w:cs="Arial" w:eastAsia="Arial" w:hAnsi="Arial"/>
                <w:sz w:val="18"/>
                <w:szCs w:val="18"/>
                <w:color w:val="auto"/>
                <w:w w:val="93"/>
              </w:rPr>
              <w:t>Restated and Amended Executive Deferred Compensation Plan. (Filed as Exhibit 10.1 to Itron, Inc.’s Quarterly Report on Form 10-Q,</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filed on November 3, 2016)</w:t>
            </w:r>
          </w:p>
        </w:tc>
      </w:tr>
      <w:tr>
        <w:trPr>
          <w:trHeight w:val="485"/>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10.25</w:t>
            </w:r>
          </w:p>
        </w:tc>
        <w:tc>
          <w:tcPr>
            <w:tcW w:w="10180" w:type="dxa"/>
            <w:vAlign w:val="bottom"/>
          </w:tcPr>
          <w:p>
            <w:pPr>
              <w:ind w:left="220"/>
              <w:spacing w:after="0"/>
              <w:rPr>
                <w:sz w:val="20"/>
                <w:szCs w:val="20"/>
                <w:color w:val="auto"/>
              </w:rPr>
            </w:pPr>
            <w:r>
              <w:rPr>
                <w:rFonts w:ascii="Arial" w:cs="Arial" w:eastAsia="Arial" w:hAnsi="Arial"/>
                <w:sz w:val="18"/>
                <w:szCs w:val="18"/>
                <w:color w:val="auto"/>
                <w:w w:val="94"/>
              </w:rPr>
              <w:t>Amended and Restated 2002 Employee Stock Purchase Plan. (Filed as Exhibit 10.20 to Itron’s Annual Report on Form 10-K, filed on</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February 26, 2009)</w:t>
            </w:r>
          </w:p>
        </w:tc>
      </w:tr>
      <w:tr>
        <w:trPr>
          <w:trHeight w:val="485"/>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10.26</w:t>
            </w:r>
          </w:p>
        </w:tc>
        <w:tc>
          <w:tcPr>
            <w:tcW w:w="10180" w:type="dxa"/>
            <w:vAlign w:val="bottom"/>
          </w:tcPr>
          <w:p>
            <w:pPr>
              <w:ind w:left="220"/>
              <w:spacing w:after="0"/>
              <w:rPr>
                <w:sz w:val="20"/>
                <w:szCs w:val="20"/>
                <w:color w:val="auto"/>
              </w:rPr>
            </w:pPr>
            <w:r>
              <w:rPr>
                <w:rFonts w:ascii="Arial" w:cs="Arial" w:eastAsia="Arial" w:hAnsi="Arial"/>
                <w:sz w:val="18"/>
                <w:szCs w:val="18"/>
                <w:color w:val="auto"/>
                <w:w w:val="92"/>
              </w:rPr>
              <w:t>Stock Option Plan for Nonemployee Directors. (Filed as Exhibit 10.11 to Itron, Inc.’s Registration Statement on Form S-1 dated July 22,</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1992)</w:t>
            </w:r>
          </w:p>
        </w:tc>
      </w:tr>
      <w:tr>
        <w:trPr>
          <w:trHeight w:val="485"/>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5"/>
              </w:rPr>
              <w:t>10.27*</w:t>
            </w:r>
          </w:p>
        </w:tc>
        <w:tc>
          <w:tcPr>
            <w:tcW w:w="10180" w:type="dxa"/>
            <w:vAlign w:val="bottom"/>
          </w:tcPr>
          <w:p>
            <w:pPr>
              <w:ind w:left="220"/>
              <w:spacing w:after="0"/>
              <w:rPr>
                <w:sz w:val="20"/>
                <w:szCs w:val="20"/>
                <w:color w:val="auto"/>
              </w:rPr>
            </w:pPr>
            <w:r>
              <w:rPr>
                <w:rFonts w:ascii="Arial" w:cs="Arial" w:eastAsia="Arial" w:hAnsi="Arial"/>
                <w:sz w:val="18"/>
                <w:szCs w:val="18"/>
                <w:color w:val="auto"/>
                <w:w w:val="96"/>
              </w:rPr>
              <w:t>Offer Letter, dated as of November 16, 2012, between Itron, Inc. and Philip C. Mezey. (Filed as Exhibit 10.1 to Itron, Inc.’s Current</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Report on Form 8-K, filed on November 19, 2012)</w:t>
            </w:r>
          </w:p>
        </w:tc>
      </w:tr>
      <w:tr>
        <w:trPr>
          <w:trHeight w:val="485"/>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5"/>
              </w:rPr>
              <w:t>10.28*</w:t>
            </w:r>
          </w:p>
        </w:tc>
        <w:tc>
          <w:tcPr>
            <w:tcW w:w="10180" w:type="dxa"/>
            <w:vAlign w:val="bottom"/>
          </w:tcPr>
          <w:p>
            <w:pPr>
              <w:ind w:left="220"/>
              <w:spacing w:after="0"/>
              <w:rPr>
                <w:sz w:val="20"/>
                <w:szCs w:val="20"/>
                <w:color w:val="auto"/>
              </w:rPr>
            </w:pPr>
            <w:r>
              <w:rPr>
                <w:rFonts w:ascii="Arial" w:cs="Arial" w:eastAsia="Arial" w:hAnsi="Arial"/>
                <w:sz w:val="18"/>
                <w:szCs w:val="18"/>
                <w:color w:val="auto"/>
                <w:w w:val="95"/>
              </w:rPr>
              <w:t>Offer Letter, dated as of November 16, 2012, between Itron, Inc. and John W. Holleran. (Filed as Exhibit 10.2 to Itron, Inc.’s Current</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Report on Form 8-K, filed on November 19, 2012)</w:t>
            </w:r>
          </w:p>
        </w:tc>
      </w:tr>
      <w:tr>
        <w:trPr>
          <w:trHeight w:val="485"/>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10.29</w:t>
            </w:r>
          </w:p>
        </w:tc>
        <w:tc>
          <w:tcPr>
            <w:tcW w:w="10180" w:type="dxa"/>
            <w:vAlign w:val="bottom"/>
          </w:tcPr>
          <w:p>
            <w:pPr>
              <w:ind w:left="220"/>
              <w:spacing w:after="0"/>
              <w:rPr>
                <w:sz w:val="20"/>
                <w:szCs w:val="20"/>
                <w:color w:val="auto"/>
              </w:rPr>
            </w:pPr>
            <w:r>
              <w:rPr>
                <w:rFonts w:ascii="Arial" w:cs="Arial" w:eastAsia="Arial" w:hAnsi="Arial"/>
                <w:sz w:val="18"/>
                <w:szCs w:val="18"/>
                <w:color w:val="auto"/>
                <w:w w:val="91"/>
              </w:rPr>
              <w:t>Amendment to Cooperation Agreement by and among Itron, Inc., Coppersmith Capital Management LLC, Scopia Management, Inc. and</w:t>
            </w:r>
          </w:p>
        </w:tc>
      </w:tr>
      <w:tr>
        <w:trPr>
          <w:trHeight w:val="216"/>
        </w:trPr>
        <w:tc>
          <w:tcPr>
            <w:tcW w:w="900" w:type="dxa"/>
            <w:vAlign w:val="bottom"/>
          </w:tcPr>
          <w:p>
            <w:pPr>
              <w:spacing w:after="0"/>
              <w:rPr>
                <w:sz w:val="18"/>
                <w:szCs w:val="18"/>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w w:val="92"/>
              </w:rPr>
              <w:t>certain of their specified affiliates, Jerome J. Lande and Peter Mainz. (Filed as Exhibit 10.2 to Itron, Inc.’s Quarterly Report on Form 10-</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Q, filed on November 3, 2016)</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12.1</w:t>
            </w:r>
          </w:p>
        </w:tc>
        <w:tc>
          <w:tcPr>
            <w:tcW w:w="10180" w:type="dxa"/>
            <w:vAlign w:val="bottom"/>
          </w:tcPr>
          <w:p>
            <w:pPr>
              <w:ind w:left="22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21.1</w:t>
            </w:r>
          </w:p>
        </w:tc>
        <w:tc>
          <w:tcPr>
            <w:tcW w:w="10180" w:type="dxa"/>
            <w:vAlign w:val="bottom"/>
          </w:tcPr>
          <w:p>
            <w:pPr>
              <w:ind w:left="220"/>
              <w:spacing w:after="0"/>
              <w:rPr>
                <w:sz w:val="20"/>
                <w:szCs w:val="20"/>
                <w:color w:val="auto"/>
              </w:rPr>
            </w:pPr>
            <w:r>
              <w:rPr>
                <w:rFonts w:ascii="Arial" w:cs="Arial" w:eastAsia="Arial" w:hAnsi="Arial"/>
                <w:sz w:val="18"/>
                <w:szCs w:val="18"/>
                <w:color w:val="auto"/>
              </w:rPr>
              <w:t>Subsidiaries of Itron, Inc. (filed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23.1</w:t>
            </w:r>
          </w:p>
        </w:tc>
        <w:tc>
          <w:tcPr>
            <w:tcW w:w="10180" w:type="dxa"/>
            <w:vAlign w:val="bottom"/>
          </w:tcPr>
          <w:p>
            <w:pPr>
              <w:ind w:left="220"/>
              <w:spacing w:after="0"/>
              <w:rPr>
                <w:sz w:val="20"/>
                <w:szCs w:val="20"/>
                <w:color w:val="auto"/>
              </w:rPr>
            </w:pPr>
            <w:r>
              <w:rPr>
                <w:rFonts w:ascii="Arial" w:cs="Arial" w:eastAsia="Arial" w:hAnsi="Arial"/>
                <w:sz w:val="18"/>
                <w:szCs w:val="18"/>
                <w:color w:val="auto"/>
              </w:rPr>
              <w:t>Consent of Deloitte &amp; Touche LLP Independent Registered Public Accounting Firm. (filed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23.2</w:t>
            </w:r>
          </w:p>
        </w:tc>
        <w:tc>
          <w:tcPr>
            <w:tcW w:w="10180" w:type="dxa"/>
            <w:vAlign w:val="bottom"/>
          </w:tcPr>
          <w:p>
            <w:pPr>
              <w:ind w:left="220"/>
              <w:spacing w:after="0"/>
              <w:rPr>
                <w:sz w:val="20"/>
                <w:szCs w:val="20"/>
                <w:color w:val="auto"/>
              </w:rPr>
            </w:pPr>
            <w:r>
              <w:rPr>
                <w:rFonts w:ascii="Arial" w:cs="Arial" w:eastAsia="Arial" w:hAnsi="Arial"/>
                <w:sz w:val="18"/>
                <w:szCs w:val="18"/>
                <w:color w:val="auto"/>
              </w:rPr>
              <w:t>Consent of Ernst &amp; Young LLP, Independent Registered Public Accounting Firm. (filed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31.1</w:t>
            </w:r>
          </w:p>
        </w:tc>
        <w:tc>
          <w:tcPr>
            <w:tcW w:w="10180" w:type="dxa"/>
            <w:vAlign w:val="bottom"/>
          </w:tcPr>
          <w:p>
            <w:pPr>
              <w:ind w:left="220"/>
              <w:spacing w:after="0"/>
              <w:rPr>
                <w:sz w:val="20"/>
                <w:szCs w:val="20"/>
                <w:color w:val="auto"/>
              </w:rPr>
            </w:pPr>
            <w:r>
              <w:rPr>
                <w:rFonts w:ascii="Arial" w:cs="Arial" w:eastAsia="Arial" w:hAnsi="Arial"/>
                <w:sz w:val="18"/>
                <w:szCs w:val="18"/>
                <w:color w:val="auto"/>
              </w:rPr>
              <w:t>Certification Pursuant to Section 302 of the Sarbanes-Oxley Act of 2002. (filed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31.2</w:t>
            </w:r>
          </w:p>
        </w:tc>
        <w:tc>
          <w:tcPr>
            <w:tcW w:w="10180" w:type="dxa"/>
            <w:vAlign w:val="bottom"/>
          </w:tcPr>
          <w:p>
            <w:pPr>
              <w:ind w:left="220"/>
              <w:spacing w:after="0"/>
              <w:rPr>
                <w:sz w:val="20"/>
                <w:szCs w:val="20"/>
                <w:color w:val="auto"/>
              </w:rPr>
            </w:pPr>
            <w:r>
              <w:rPr>
                <w:rFonts w:ascii="Arial" w:cs="Arial" w:eastAsia="Arial" w:hAnsi="Arial"/>
                <w:sz w:val="18"/>
                <w:szCs w:val="18"/>
                <w:color w:val="auto"/>
              </w:rPr>
              <w:t>Certification Pursuant to Section 302 of the Sarbanes-Oxley Act of 2002. (filed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1"/>
              </w:rPr>
              <w:t>32.1</w:t>
            </w:r>
          </w:p>
        </w:tc>
        <w:tc>
          <w:tcPr>
            <w:tcW w:w="10180" w:type="dxa"/>
            <w:vAlign w:val="bottom"/>
          </w:tcPr>
          <w:p>
            <w:pPr>
              <w:ind w:left="220"/>
              <w:spacing w:after="0"/>
              <w:rPr>
                <w:sz w:val="20"/>
                <w:szCs w:val="20"/>
                <w:color w:val="auto"/>
              </w:rPr>
            </w:pPr>
            <w:r>
              <w:rPr>
                <w:rFonts w:ascii="Arial" w:cs="Arial" w:eastAsia="Arial" w:hAnsi="Arial"/>
                <w:sz w:val="18"/>
                <w:szCs w:val="18"/>
                <w:color w:val="auto"/>
              </w:rPr>
              <w:t>Certification Pursuant to Section 906 of the Sarbanes-Oxley Act of 2002. (furnished with this report)</w:t>
            </w:r>
          </w:p>
        </w:tc>
      </w:tr>
      <w:tr>
        <w:trPr>
          <w:trHeight w:val="500"/>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2"/>
              </w:rPr>
              <w:t>101.INS</w:t>
            </w:r>
          </w:p>
        </w:tc>
        <w:tc>
          <w:tcPr>
            <w:tcW w:w="10180" w:type="dxa"/>
            <w:vAlign w:val="bottom"/>
          </w:tcPr>
          <w:p>
            <w:pPr>
              <w:ind w:left="220"/>
              <w:spacing w:after="0"/>
              <w:rPr>
                <w:sz w:val="20"/>
                <w:szCs w:val="20"/>
                <w:color w:val="auto"/>
              </w:rPr>
            </w:pPr>
            <w:r>
              <w:rPr>
                <w:rFonts w:ascii="Arial" w:cs="Arial" w:eastAsia="Arial" w:hAnsi="Arial"/>
                <w:sz w:val="18"/>
                <w:szCs w:val="18"/>
                <w:color w:val="auto"/>
              </w:rPr>
              <w:t>XBRL Instance Document. (submitted electronically with this report in accordance with the provisions of Regulation S-T)</w:t>
            </w:r>
          </w:p>
        </w:tc>
      </w:tr>
      <w:tr>
        <w:trPr>
          <w:trHeight w:val="500"/>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0"/>
              </w:rPr>
              <w:t>101.SCH</w:t>
            </w:r>
          </w:p>
        </w:tc>
        <w:tc>
          <w:tcPr>
            <w:tcW w:w="10180" w:type="dxa"/>
            <w:vAlign w:val="bottom"/>
          </w:tcPr>
          <w:p>
            <w:pPr>
              <w:ind w:left="220"/>
              <w:spacing w:after="0"/>
              <w:rPr>
                <w:sz w:val="20"/>
                <w:szCs w:val="20"/>
                <w:color w:val="auto"/>
              </w:rPr>
            </w:pPr>
            <w:r>
              <w:rPr>
                <w:rFonts w:ascii="Arial" w:cs="Arial" w:eastAsia="Arial" w:hAnsi="Arial"/>
                <w:sz w:val="18"/>
                <w:szCs w:val="18"/>
                <w:color w:val="auto"/>
                <w:w w:val="95"/>
              </w:rPr>
              <w:t>XBRL Taxonomy Extension Schema. (submitted electronically with this report in accordance with the provisions of Regulation S-T)</w:t>
            </w:r>
          </w:p>
        </w:tc>
      </w:tr>
      <w:tr>
        <w:trPr>
          <w:trHeight w:val="485"/>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7"/>
              </w:rPr>
              <w:t>101.CAL</w:t>
            </w:r>
          </w:p>
        </w:tc>
        <w:tc>
          <w:tcPr>
            <w:tcW w:w="10180" w:type="dxa"/>
            <w:vAlign w:val="bottom"/>
          </w:tcPr>
          <w:p>
            <w:pPr>
              <w:ind w:left="220"/>
              <w:spacing w:after="0"/>
              <w:rPr>
                <w:sz w:val="20"/>
                <w:szCs w:val="20"/>
                <w:color w:val="auto"/>
              </w:rPr>
            </w:pPr>
            <w:r>
              <w:rPr>
                <w:rFonts w:ascii="Arial" w:cs="Arial" w:eastAsia="Arial" w:hAnsi="Arial"/>
                <w:sz w:val="18"/>
                <w:szCs w:val="18"/>
                <w:color w:val="auto"/>
                <w:w w:val="98"/>
              </w:rPr>
              <w:t>XBRL Taxonomy Extension Calculation Linkbase. (submitted electronically with this report in accordance with the provisions of</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Regulation S-T)</w:t>
            </w:r>
          </w:p>
        </w:tc>
      </w:tr>
      <w:tr>
        <w:trPr>
          <w:trHeight w:val="485"/>
        </w:trPr>
        <w:tc>
          <w:tcPr>
            <w:tcW w:w="900" w:type="dxa"/>
            <w:vAlign w:val="bottom"/>
          </w:tcPr>
          <w:p>
            <w:pPr>
              <w:jc w:val="center"/>
              <w:ind w:right="150"/>
              <w:spacing w:after="0"/>
              <w:rPr>
                <w:sz w:val="20"/>
                <w:szCs w:val="20"/>
                <w:color w:val="auto"/>
              </w:rPr>
            </w:pPr>
            <w:r>
              <w:rPr>
                <w:rFonts w:ascii="Arial" w:cs="Arial" w:eastAsia="Arial" w:hAnsi="Arial"/>
                <w:sz w:val="18"/>
                <w:szCs w:val="18"/>
                <w:color w:val="auto"/>
                <w:w w:val="92"/>
              </w:rPr>
              <w:t>101.DEF</w:t>
            </w:r>
          </w:p>
        </w:tc>
        <w:tc>
          <w:tcPr>
            <w:tcW w:w="1018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(submitted electronically with this report in accordance with the provisions of</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Regulation S-T)</w:t>
            </w:r>
          </w:p>
        </w:tc>
      </w:tr>
      <w:tr>
        <w:trPr>
          <w:trHeight w:val="485"/>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98"/>
              </w:rPr>
              <w:t>101.LAB</w:t>
            </w:r>
          </w:p>
        </w:tc>
        <w:tc>
          <w:tcPr>
            <w:tcW w:w="10180" w:type="dxa"/>
            <w:vAlign w:val="bottom"/>
          </w:tcPr>
          <w:p>
            <w:pPr>
              <w:ind w:left="220"/>
              <w:spacing w:after="0"/>
              <w:rPr>
                <w:sz w:val="20"/>
                <w:szCs w:val="20"/>
                <w:color w:val="auto"/>
              </w:rPr>
            </w:pPr>
            <w:r>
              <w:rPr>
                <w:rFonts w:ascii="Arial" w:cs="Arial" w:eastAsia="Arial" w:hAnsi="Arial"/>
                <w:sz w:val="18"/>
                <w:szCs w:val="18"/>
                <w:color w:val="auto"/>
                <w:w w:val="92"/>
              </w:rPr>
              <w:t>XBRL Taxonomy Extension Label Linkbase. (submitted electronically with this report in accordance with the provisions of Regulation S-</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T)</w:t>
            </w:r>
          </w:p>
        </w:tc>
      </w:tr>
      <w:tr>
        <w:trPr>
          <w:trHeight w:val="485"/>
        </w:trPr>
        <w:tc>
          <w:tcPr>
            <w:tcW w:w="900" w:type="dxa"/>
            <w:vAlign w:val="bottom"/>
          </w:tcPr>
          <w:p>
            <w:pPr>
              <w:jc w:val="center"/>
              <w:ind w:right="130"/>
              <w:spacing w:after="0"/>
              <w:rPr>
                <w:sz w:val="20"/>
                <w:szCs w:val="20"/>
                <w:color w:val="auto"/>
              </w:rPr>
            </w:pPr>
            <w:r>
              <w:rPr>
                <w:rFonts w:ascii="Arial" w:cs="Arial" w:eastAsia="Arial" w:hAnsi="Arial"/>
                <w:sz w:val="18"/>
                <w:szCs w:val="18"/>
                <w:color w:val="auto"/>
                <w:w w:val="88"/>
              </w:rPr>
              <w:t>101.PRE</w:t>
            </w:r>
          </w:p>
        </w:tc>
        <w:tc>
          <w:tcPr>
            <w:tcW w:w="10180" w:type="dxa"/>
            <w:vAlign w:val="bottom"/>
          </w:tcPr>
          <w:p>
            <w:pPr>
              <w:ind w:left="220"/>
              <w:spacing w:after="0"/>
              <w:rPr>
                <w:sz w:val="20"/>
                <w:szCs w:val="20"/>
                <w:color w:val="auto"/>
              </w:rPr>
            </w:pPr>
            <w:r>
              <w:rPr>
                <w:rFonts w:ascii="Arial" w:cs="Arial" w:eastAsia="Arial" w:hAnsi="Arial"/>
                <w:sz w:val="18"/>
                <w:szCs w:val="18"/>
                <w:color w:val="auto"/>
                <w:w w:val="97"/>
              </w:rPr>
              <w:t>XBRL Taxonomy Extension Presentation Linkbase. (submitted electronically with this report in accordance with the provisions of</w:t>
            </w:r>
          </w:p>
        </w:tc>
      </w:tr>
      <w:tr>
        <w:trPr>
          <w:trHeight w:val="230"/>
        </w:trPr>
        <w:tc>
          <w:tcPr>
            <w:tcW w:w="900" w:type="dxa"/>
            <w:vAlign w:val="bottom"/>
          </w:tcPr>
          <w:p>
            <w:pPr>
              <w:spacing w:after="0"/>
              <w:rPr>
                <w:sz w:val="20"/>
                <w:szCs w:val="20"/>
                <w:color w:val="auto"/>
              </w:rPr>
            </w:pPr>
          </w:p>
        </w:tc>
        <w:tc>
          <w:tcPr>
            <w:tcW w:w="10180" w:type="dxa"/>
            <w:vAlign w:val="bottom"/>
          </w:tcPr>
          <w:p>
            <w:pPr>
              <w:ind w:left="220"/>
              <w:spacing w:after="0"/>
              <w:rPr>
                <w:sz w:val="20"/>
                <w:szCs w:val="20"/>
                <w:color w:val="auto"/>
              </w:rPr>
            </w:pPr>
            <w:r>
              <w:rPr>
                <w:rFonts w:ascii="Arial" w:cs="Arial" w:eastAsia="Arial" w:hAnsi="Arial"/>
                <w:sz w:val="18"/>
                <w:szCs w:val="18"/>
                <w:color w:val="auto"/>
              </w:rPr>
              <w:t>Regulation S-T)</w:t>
            </w:r>
          </w:p>
        </w:tc>
      </w:tr>
    </w:tbl>
    <w:p>
      <w:pPr>
        <w:spacing w:after="0" w:line="269" w:lineRule="exact"/>
        <w:rPr>
          <w:sz w:val="20"/>
          <w:szCs w:val="20"/>
          <w:color w:val="auto"/>
        </w:rPr>
      </w:pPr>
    </w:p>
    <w:p>
      <w:pPr>
        <w:jc w:val="right"/>
        <w:ind w:left="5480" w:right="5580" w:hanging="5029"/>
        <w:spacing w:after="0" w:line="976" w:lineRule="auto"/>
        <w:tabs>
          <w:tab w:leader="none" w:pos="12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99</w:t>
      </w:r>
    </w:p>
    <w:p>
      <w:pPr>
        <w:sectPr>
          <w:pgSz w:w="11900" w:h="16838" w:orient="portrait"/>
          <w:cols w:equalWidth="0" w:num="1">
            <w:col w:w="11240"/>
          </w:cols>
          <w:pgMar w:left="380" w:top="589" w:right="279" w:bottom="931"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28th day of February, 2017.</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27305</wp:posOffset>
            </wp:positionV>
            <wp:extent cx="45624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46"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W. Mark Schmitz</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28th day of February, 2017.</w:t>
      </w:r>
    </w:p>
    <w:p>
      <w:pPr>
        <w:sectPr>
          <w:pgSz w:w="11900" w:h="16838" w:orient="portrait"/>
          <w:cols w:equalWidth="0" w:num="1">
            <w:col w:w="11420"/>
          </w:cols>
          <w:pgMar w:left="240" w:top="364" w:right="23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60" w:type="dxa"/>
            <w:vAlign w:val="bottom"/>
          </w:tcPr>
          <w:p>
            <w:pPr>
              <w:spacing w:after="0"/>
              <w:rPr>
                <w:sz w:val="18"/>
                <w:szCs w:val="18"/>
                <w:color w:val="auto"/>
              </w:rPr>
            </w:pPr>
          </w:p>
        </w:tc>
        <w:tc>
          <w:tcPr>
            <w:tcW w:w="2540" w:type="dxa"/>
            <w:vAlign w:val="bottom"/>
          </w:tcPr>
          <w:p>
            <w:pPr>
              <w:jc w:val="center"/>
              <w:ind w:right="1367"/>
              <w:spacing w:after="0"/>
              <w:rPr>
                <w:sz w:val="20"/>
                <w:szCs w:val="20"/>
                <w:color w:val="auto"/>
              </w:rPr>
            </w:pPr>
            <w:r>
              <w:rPr>
                <w:rFonts w:ascii="Arial" w:cs="Arial" w:eastAsia="Arial" w:hAnsi="Arial"/>
                <w:sz w:val="16"/>
                <w:szCs w:val="16"/>
                <w:b w:val="1"/>
                <w:bCs w:val="1"/>
                <w:color w:val="auto"/>
                <w:w w:val="89"/>
              </w:rPr>
              <w:t>Signatures</w:t>
            </w:r>
          </w:p>
        </w:tc>
      </w:tr>
      <w:tr>
        <w:trPr>
          <w:trHeight w:val="33"/>
        </w:trPr>
        <w:tc>
          <w:tcPr>
            <w:tcW w:w="14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528"/>
        </w:trPr>
        <w:tc>
          <w:tcPr>
            <w:tcW w:w="14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w w:val="94"/>
              </w:rPr>
              <w:t>/s/</w:t>
            </w:r>
          </w:p>
        </w:tc>
        <w:tc>
          <w:tcPr>
            <w:tcW w:w="254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w w:val="99"/>
              </w:rPr>
              <w:t>PHILIP C. MEZEY</w:t>
            </w:r>
          </w:p>
        </w:tc>
      </w:tr>
      <w:tr>
        <w:trPr>
          <w:trHeight w:val="244"/>
        </w:trPr>
        <w:tc>
          <w:tcPr>
            <w:tcW w:w="1460" w:type="dxa"/>
            <w:vAlign w:val="bottom"/>
          </w:tcPr>
          <w:p>
            <w:pPr>
              <w:spacing w:after="0"/>
              <w:rPr>
                <w:sz w:val="21"/>
                <w:szCs w:val="21"/>
                <w:color w:val="auto"/>
              </w:rPr>
            </w:pPr>
          </w:p>
        </w:tc>
        <w:tc>
          <w:tcPr>
            <w:tcW w:w="2540" w:type="dxa"/>
            <w:vAlign w:val="bottom"/>
          </w:tcPr>
          <w:p>
            <w:pPr>
              <w:jc w:val="center"/>
              <w:ind w:right="1367"/>
              <w:spacing w:after="0"/>
              <w:rPr>
                <w:sz w:val="20"/>
                <w:szCs w:val="20"/>
                <w:color w:val="auto"/>
              </w:rPr>
            </w:pPr>
            <w:r>
              <w:rPr>
                <w:rFonts w:ascii="Arial" w:cs="Arial" w:eastAsia="Arial" w:hAnsi="Arial"/>
                <w:sz w:val="14"/>
                <w:szCs w:val="14"/>
                <w:b w:val="1"/>
                <w:bCs w:val="1"/>
                <w:color w:val="auto"/>
                <w:w w:val="96"/>
              </w:rPr>
              <w:t>Philip C. Mezey</w:t>
            </w:r>
          </w:p>
        </w:tc>
      </w:tr>
      <w:tr>
        <w:trPr>
          <w:trHeight w:val="465"/>
        </w:trPr>
        <w:tc>
          <w:tcPr>
            <w:tcW w:w="146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w:t>
            </w:r>
          </w:p>
        </w:tc>
        <w:tc>
          <w:tcPr>
            <w:tcW w:w="254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rPr>
              <w:t>W. MARK SCHMITZ</w:t>
            </w:r>
          </w:p>
        </w:tc>
      </w:tr>
      <w:tr>
        <w:trPr>
          <w:trHeight w:val="231"/>
        </w:trPr>
        <w:tc>
          <w:tcPr>
            <w:tcW w:w="1460" w:type="dxa"/>
            <w:vAlign w:val="bottom"/>
          </w:tcPr>
          <w:p>
            <w:pPr>
              <w:spacing w:after="0"/>
              <w:rPr>
                <w:sz w:val="20"/>
                <w:szCs w:val="20"/>
                <w:color w:val="auto"/>
              </w:rPr>
            </w:pPr>
          </w:p>
        </w:tc>
        <w:tc>
          <w:tcPr>
            <w:tcW w:w="2540" w:type="dxa"/>
            <w:vAlign w:val="bottom"/>
          </w:tcPr>
          <w:p>
            <w:pPr>
              <w:jc w:val="center"/>
              <w:ind w:right="1387"/>
              <w:spacing w:after="0"/>
              <w:rPr>
                <w:sz w:val="20"/>
                <w:szCs w:val="20"/>
                <w:color w:val="auto"/>
              </w:rPr>
            </w:pPr>
            <w:r>
              <w:rPr>
                <w:rFonts w:ascii="Arial" w:cs="Arial" w:eastAsia="Arial" w:hAnsi="Arial"/>
                <w:sz w:val="14"/>
                <w:szCs w:val="14"/>
                <w:b w:val="1"/>
                <w:bCs w:val="1"/>
                <w:color w:val="auto"/>
                <w:w w:val="97"/>
              </w:rPr>
              <w:t>W. Mark Schmitz</w:t>
            </w:r>
          </w:p>
        </w:tc>
      </w:tr>
      <w:tr>
        <w:trPr>
          <w:trHeight w:val="479"/>
        </w:trPr>
        <w:tc>
          <w:tcPr>
            <w:tcW w:w="14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w w:val="94"/>
              </w:rPr>
              <w:t>/s/</w:t>
            </w:r>
          </w:p>
        </w:tc>
        <w:tc>
          <w:tcPr>
            <w:tcW w:w="2540" w:type="dxa"/>
            <w:vAlign w:val="bottom"/>
            <w:tcBorders>
              <w:bottom w:val="single" w:sz="8" w:color="auto"/>
            </w:tcBorders>
          </w:tcPr>
          <w:p>
            <w:pPr>
              <w:jc w:val="center"/>
              <w:ind w:right="1107"/>
              <w:spacing w:after="0"/>
              <w:rPr>
                <w:sz w:val="20"/>
                <w:szCs w:val="20"/>
                <w:color w:val="auto"/>
              </w:rPr>
            </w:pPr>
            <w:r>
              <w:rPr>
                <w:rFonts w:ascii="Arial" w:cs="Arial" w:eastAsia="Arial" w:hAnsi="Arial"/>
                <w:sz w:val="14"/>
                <w:szCs w:val="14"/>
                <w:color w:val="auto"/>
              </w:rPr>
              <w:t>KIRBY A. DYESS</w:t>
            </w:r>
          </w:p>
        </w:tc>
      </w:tr>
      <w:tr>
        <w:trPr>
          <w:trHeight w:val="231"/>
        </w:trPr>
        <w:tc>
          <w:tcPr>
            <w:tcW w:w="1460" w:type="dxa"/>
            <w:vAlign w:val="bottom"/>
          </w:tcPr>
          <w:p>
            <w:pPr>
              <w:spacing w:after="0"/>
              <w:rPr>
                <w:sz w:val="20"/>
                <w:szCs w:val="20"/>
                <w:color w:val="auto"/>
              </w:rPr>
            </w:pPr>
          </w:p>
        </w:tc>
        <w:tc>
          <w:tcPr>
            <w:tcW w:w="2540" w:type="dxa"/>
            <w:vAlign w:val="bottom"/>
          </w:tcPr>
          <w:p>
            <w:pPr>
              <w:jc w:val="center"/>
              <w:ind w:right="1367"/>
              <w:spacing w:after="0"/>
              <w:rPr>
                <w:sz w:val="20"/>
                <w:szCs w:val="20"/>
                <w:color w:val="auto"/>
              </w:rPr>
            </w:pPr>
            <w:r>
              <w:rPr>
                <w:rFonts w:ascii="Arial" w:cs="Arial" w:eastAsia="Arial" w:hAnsi="Arial"/>
                <w:sz w:val="14"/>
                <w:szCs w:val="14"/>
                <w:b w:val="1"/>
                <w:bCs w:val="1"/>
                <w:color w:val="auto"/>
                <w:w w:val="95"/>
              </w:rPr>
              <w:t>Kirby A. Dyess</w:t>
            </w:r>
          </w:p>
        </w:tc>
      </w:tr>
      <w:tr>
        <w:trPr>
          <w:trHeight w:val="479"/>
        </w:trPr>
        <w:tc>
          <w:tcPr>
            <w:tcW w:w="146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w w:val="94"/>
              </w:rPr>
              <w:t>/s/</w:t>
            </w:r>
          </w:p>
        </w:tc>
        <w:tc>
          <w:tcPr>
            <w:tcW w:w="254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w w:val="96"/>
              </w:rPr>
              <w:t>JON E. ELIASSEN</w:t>
            </w:r>
          </w:p>
        </w:tc>
      </w:tr>
      <w:tr>
        <w:trPr>
          <w:trHeight w:val="231"/>
        </w:trPr>
        <w:tc>
          <w:tcPr>
            <w:tcW w:w="1460" w:type="dxa"/>
            <w:vAlign w:val="bottom"/>
          </w:tcPr>
          <w:p>
            <w:pPr>
              <w:spacing w:after="0"/>
              <w:rPr>
                <w:sz w:val="20"/>
                <w:szCs w:val="20"/>
                <w:color w:val="auto"/>
              </w:rPr>
            </w:pPr>
          </w:p>
        </w:tc>
        <w:tc>
          <w:tcPr>
            <w:tcW w:w="2540" w:type="dxa"/>
            <w:vAlign w:val="bottom"/>
          </w:tcPr>
          <w:p>
            <w:pPr>
              <w:jc w:val="center"/>
              <w:ind w:right="1367"/>
              <w:spacing w:after="0"/>
              <w:rPr>
                <w:sz w:val="20"/>
                <w:szCs w:val="20"/>
                <w:color w:val="auto"/>
              </w:rPr>
            </w:pPr>
            <w:r>
              <w:rPr>
                <w:rFonts w:ascii="Arial" w:cs="Arial" w:eastAsia="Arial" w:hAnsi="Arial"/>
                <w:sz w:val="14"/>
                <w:szCs w:val="14"/>
                <w:b w:val="1"/>
                <w:bCs w:val="1"/>
                <w:color w:val="auto"/>
                <w:w w:val="91"/>
              </w:rPr>
              <w:t>Jon E. Eliassen</w:t>
            </w:r>
          </w:p>
        </w:tc>
      </w:tr>
    </w:tbl>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/s/</w:t>
            </w:r>
          </w:p>
        </w:tc>
        <w:tc>
          <w:tcPr>
            <w:tcW w:w="2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CHARLES H. GAYLORD, JR.</w:t>
            </w:r>
          </w:p>
        </w:tc>
      </w:tr>
      <w:tr>
        <w:trPr>
          <w:trHeight w:val="231"/>
        </w:trPr>
        <w:tc>
          <w:tcPr>
            <w:tcW w:w="1220" w:type="dxa"/>
            <w:vAlign w:val="bottom"/>
          </w:tcPr>
          <w:p>
            <w:pPr>
              <w:spacing w:after="0"/>
              <w:rPr>
                <w:sz w:val="20"/>
                <w:szCs w:val="20"/>
                <w:color w:val="auto"/>
              </w:rPr>
            </w:pPr>
          </w:p>
        </w:tc>
        <w:tc>
          <w:tcPr>
            <w:tcW w:w="2780" w:type="dxa"/>
            <w:vAlign w:val="bottom"/>
            <w:gridSpan w:val="2"/>
          </w:tcPr>
          <w:p>
            <w:pPr>
              <w:jc w:val="center"/>
              <w:ind w:right="1148"/>
              <w:spacing w:after="0"/>
              <w:rPr>
                <w:sz w:val="20"/>
                <w:szCs w:val="20"/>
                <w:color w:val="auto"/>
              </w:rPr>
            </w:pPr>
            <w:r>
              <w:rPr>
                <w:rFonts w:ascii="Arial" w:cs="Arial" w:eastAsia="Arial" w:hAnsi="Arial"/>
                <w:sz w:val="14"/>
                <w:szCs w:val="14"/>
                <w:b w:val="1"/>
                <w:bCs w:val="1"/>
                <w:color w:val="auto"/>
                <w:w w:val="95"/>
              </w:rPr>
              <w:t>Charles H. Gaylord, Jr.</w:t>
            </w:r>
          </w:p>
        </w:tc>
      </w:tr>
      <w:tr>
        <w:trPr>
          <w:trHeight w:val="479"/>
        </w:trPr>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w w:val="94"/>
              </w:rPr>
              <w:t>/s/</w:t>
            </w:r>
          </w:p>
        </w:tc>
        <w:tc>
          <w:tcPr>
            <w:tcW w:w="2780" w:type="dxa"/>
            <w:vAlign w:val="bottom"/>
            <w:tcBorders>
              <w:bottom w:val="single" w:sz="8" w:color="auto"/>
            </w:tcBorders>
            <w:gridSpan w:val="2"/>
          </w:tcPr>
          <w:p>
            <w:pPr>
              <w:jc w:val="center"/>
              <w:ind w:right="848"/>
              <w:spacing w:after="0"/>
              <w:rPr>
                <w:sz w:val="20"/>
                <w:szCs w:val="20"/>
                <w:color w:val="auto"/>
              </w:rPr>
            </w:pPr>
            <w:r>
              <w:rPr>
                <w:rFonts w:ascii="Arial" w:cs="Arial" w:eastAsia="Arial" w:hAnsi="Arial"/>
                <w:sz w:val="14"/>
                <w:szCs w:val="14"/>
                <w:color w:val="auto"/>
              </w:rPr>
              <w:t>THOMAS S. GLANVILLE</w:t>
            </w:r>
          </w:p>
        </w:tc>
      </w:tr>
      <w:tr>
        <w:trPr>
          <w:trHeight w:val="231"/>
        </w:trPr>
        <w:tc>
          <w:tcPr>
            <w:tcW w:w="1220" w:type="dxa"/>
            <w:vAlign w:val="bottom"/>
          </w:tcPr>
          <w:p>
            <w:pPr>
              <w:spacing w:after="0"/>
              <w:rPr>
                <w:sz w:val="20"/>
                <w:szCs w:val="20"/>
                <w:color w:val="auto"/>
              </w:rPr>
            </w:pPr>
          </w:p>
        </w:tc>
        <w:tc>
          <w:tcPr>
            <w:tcW w:w="2780" w:type="dxa"/>
            <w:vAlign w:val="bottom"/>
            <w:gridSpan w:val="2"/>
          </w:tcPr>
          <w:p>
            <w:pPr>
              <w:jc w:val="center"/>
              <w:ind w:right="1148"/>
              <w:spacing w:after="0"/>
              <w:rPr>
                <w:sz w:val="20"/>
                <w:szCs w:val="20"/>
                <w:color w:val="auto"/>
              </w:rPr>
            </w:pPr>
            <w:r>
              <w:rPr>
                <w:rFonts w:ascii="Arial" w:cs="Arial" w:eastAsia="Arial" w:hAnsi="Arial"/>
                <w:sz w:val="14"/>
                <w:szCs w:val="14"/>
                <w:b w:val="1"/>
                <w:bCs w:val="1"/>
                <w:color w:val="auto"/>
                <w:w w:val="93"/>
              </w:rPr>
              <w:t>Thomas S. Glanville</w:t>
            </w:r>
          </w:p>
        </w:tc>
      </w:tr>
      <w:tr>
        <w:trPr>
          <w:trHeight w:val="479"/>
        </w:trPr>
        <w:tc>
          <w:tcPr>
            <w:tcW w:w="14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color w:val="auto"/>
              </w:rPr>
              <w:t>/s/</w:t>
            </w:r>
          </w:p>
        </w:tc>
        <w:tc>
          <w:tcPr>
            <w:tcW w:w="260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w w:val="99"/>
              </w:rPr>
              <w:t>FRANK M. JAEHNERT</w:t>
            </w:r>
          </w:p>
        </w:tc>
      </w:tr>
      <w:tr>
        <w:trPr>
          <w:trHeight w:val="231"/>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8"/>
              </w:rPr>
              <w:t>Frank M. Jaehnert</w:t>
            </w:r>
          </w:p>
        </w:tc>
      </w:tr>
      <w:tr>
        <w:trPr>
          <w:trHeight w:val="459"/>
        </w:trPr>
        <w:tc>
          <w:tcPr>
            <w:tcW w:w="122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14"/>
                <w:szCs w:val="14"/>
                <w:color w:val="auto"/>
                <w:w w:val="80"/>
              </w:rPr>
              <w:t>/s/</w:t>
            </w:r>
          </w:p>
        </w:tc>
        <w:tc>
          <w:tcPr>
            <w:tcW w:w="2600" w:type="dxa"/>
            <w:vAlign w:val="bottom"/>
          </w:tcPr>
          <w:p>
            <w:pPr>
              <w:jc w:val="center"/>
              <w:ind w:right="1028"/>
              <w:spacing w:after="0"/>
              <w:rPr>
                <w:sz w:val="20"/>
                <w:szCs w:val="20"/>
                <w:color w:val="auto"/>
              </w:rPr>
            </w:pPr>
            <w:r>
              <w:rPr>
                <w:rFonts w:ascii="Arial" w:cs="Arial" w:eastAsia="Arial" w:hAnsi="Arial"/>
                <w:sz w:val="14"/>
                <w:szCs w:val="14"/>
                <w:color w:val="auto"/>
                <w:w w:val="98"/>
              </w:rPr>
              <w:t>JEROME J. LANDE</w:t>
            </w:r>
          </w:p>
        </w:tc>
      </w:tr>
      <w:tr>
        <w:trPr>
          <w:trHeight w:val="26"/>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2"/>
              </w:rPr>
              <w:t>Jerome J. Lande</w:t>
            </w:r>
          </w:p>
        </w:tc>
      </w:tr>
      <w:tr>
        <w:trPr>
          <w:trHeight w:val="459"/>
        </w:trPr>
        <w:tc>
          <w:tcPr>
            <w:tcW w:w="1400" w:type="dxa"/>
            <w:vAlign w:val="bottom"/>
            <w:gridSpan w:val="2"/>
          </w:tcPr>
          <w:p>
            <w:pPr>
              <w:ind w:left="1140"/>
              <w:spacing w:after="0"/>
              <w:rPr>
                <w:sz w:val="20"/>
                <w:szCs w:val="20"/>
                <w:color w:val="auto"/>
              </w:rPr>
            </w:pPr>
            <w:r>
              <w:rPr>
                <w:rFonts w:ascii="Arial" w:cs="Arial" w:eastAsia="Arial" w:hAnsi="Arial"/>
                <w:sz w:val="14"/>
                <w:szCs w:val="14"/>
                <w:color w:val="auto"/>
              </w:rPr>
              <w:t>/s/</w:t>
            </w:r>
          </w:p>
        </w:tc>
        <w:tc>
          <w:tcPr>
            <w:tcW w:w="2600" w:type="dxa"/>
            <w:vAlign w:val="bottom"/>
          </w:tcPr>
          <w:p>
            <w:pPr>
              <w:jc w:val="center"/>
              <w:ind w:right="1048"/>
              <w:spacing w:after="0"/>
              <w:rPr>
                <w:sz w:val="20"/>
                <w:szCs w:val="20"/>
                <w:color w:val="auto"/>
              </w:rPr>
            </w:pPr>
            <w:r>
              <w:rPr>
                <w:rFonts w:ascii="Arial" w:cs="Arial" w:eastAsia="Arial" w:hAnsi="Arial"/>
                <w:sz w:val="14"/>
                <w:szCs w:val="14"/>
                <w:color w:val="auto"/>
              </w:rPr>
              <w:t>TIMOTHY M. LEYDEN</w:t>
            </w:r>
          </w:p>
        </w:tc>
      </w:tr>
      <w:tr>
        <w:trPr>
          <w:trHeight w:val="26"/>
        </w:trPr>
        <w:tc>
          <w:tcPr>
            <w:tcW w:w="1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2780" w:type="dxa"/>
            <w:vAlign w:val="bottom"/>
            <w:gridSpan w:val="2"/>
          </w:tcPr>
          <w:p>
            <w:pPr>
              <w:jc w:val="center"/>
              <w:ind w:right="1128"/>
              <w:spacing w:after="0"/>
              <w:rPr>
                <w:sz w:val="20"/>
                <w:szCs w:val="20"/>
                <w:color w:val="auto"/>
              </w:rPr>
            </w:pPr>
            <w:r>
              <w:rPr>
                <w:rFonts w:ascii="Arial" w:cs="Arial" w:eastAsia="Arial" w:hAnsi="Arial"/>
                <w:sz w:val="14"/>
                <w:szCs w:val="14"/>
                <w:b w:val="1"/>
                <w:bCs w:val="1"/>
                <w:color w:val="auto"/>
                <w:w w:val="96"/>
              </w:rPr>
              <w:t>Timothy M. Leyden</w:t>
            </w:r>
          </w:p>
        </w:tc>
      </w:tr>
      <w:tr>
        <w:trPr>
          <w:trHeight w:val="459"/>
        </w:trPr>
        <w:tc>
          <w:tcPr>
            <w:tcW w:w="1220" w:type="dxa"/>
            <w:vAlign w:val="bottom"/>
          </w:tcPr>
          <w:p>
            <w:pPr>
              <w:spacing w:after="0"/>
              <w:rPr>
                <w:sz w:val="24"/>
                <w:szCs w:val="24"/>
                <w:color w:val="auto"/>
              </w:rPr>
            </w:pPr>
          </w:p>
        </w:tc>
        <w:tc>
          <w:tcPr>
            <w:tcW w:w="2780" w:type="dxa"/>
            <w:vAlign w:val="bottom"/>
            <w:gridSpan w:val="2"/>
          </w:tcPr>
          <w:p>
            <w:pPr>
              <w:jc w:val="center"/>
              <w:ind w:right="1128"/>
              <w:spacing w:after="0"/>
              <w:rPr>
                <w:sz w:val="20"/>
                <w:szCs w:val="20"/>
                <w:color w:val="auto"/>
              </w:rPr>
            </w:pPr>
            <w:r>
              <w:rPr>
                <w:rFonts w:ascii="Arial" w:cs="Arial" w:eastAsia="Arial" w:hAnsi="Arial"/>
                <w:sz w:val="14"/>
                <w:szCs w:val="14"/>
                <w:color w:val="auto"/>
              </w:rPr>
              <w:t>/s/  PETER MAINZ</w:t>
            </w:r>
          </w:p>
        </w:tc>
      </w:tr>
      <w:tr>
        <w:trPr>
          <w:trHeight w:val="26"/>
        </w:trPr>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jc w:val="center"/>
              <w:ind w:right="1328"/>
              <w:spacing w:after="0"/>
              <w:rPr>
                <w:sz w:val="20"/>
                <w:szCs w:val="20"/>
                <w:color w:val="auto"/>
              </w:rPr>
            </w:pPr>
            <w:r>
              <w:rPr>
                <w:rFonts w:ascii="Arial" w:cs="Arial" w:eastAsia="Arial" w:hAnsi="Arial"/>
                <w:sz w:val="14"/>
                <w:szCs w:val="14"/>
                <w:b w:val="1"/>
                <w:bCs w:val="1"/>
                <w:color w:val="auto"/>
                <w:w w:val="97"/>
              </w:rPr>
              <w:t>Peter Mainz</w:t>
            </w:r>
          </w:p>
        </w:tc>
      </w:tr>
      <w:tr>
        <w:trPr>
          <w:trHeight w:val="479"/>
        </w:trPr>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/s/</w:t>
            </w:r>
          </w:p>
        </w:tc>
        <w:tc>
          <w:tcPr>
            <w:tcW w:w="260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rPr>
              <w:t>DANIEL S. PELINO</w:t>
            </w:r>
          </w:p>
        </w:tc>
      </w:tr>
      <w:tr>
        <w:trPr>
          <w:trHeight w:val="231"/>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3"/>
              </w:rPr>
              <w:t>Daniel S. Pelino</w:t>
            </w:r>
          </w:p>
        </w:tc>
      </w:tr>
      <w:tr>
        <w:trPr>
          <w:trHeight w:val="479"/>
        </w:trPr>
        <w:tc>
          <w:tcPr>
            <w:tcW w:w="1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
          </w:tcPr>
          <w:p>
            <w:pPr>
              <w:jc w:val="center"/>
              <w:ind w:right="1128"/>
              <w:spacing w:after="0"/>
              <w:rPr>
                <w:sz w:val="20"/>
                <w:szCs w:val="20"/>
                <w:color w:val="auto"/>
              </w:rPr>
            </w:pPr>
            <w:r>
              <w:rPr>
                <w:rFonts w:ascii="Arial" w:cs="Arial" w:eastAsia="Arial" w:hAnsi="Arial"/>
                <w:sz w:val="14"/>
                <w:szCs w:val="14"/>
                <w:color w:val="auto"/>
              </w:rPr>
              <w:t>/s/  GARY E. PRUITT</w:t>
            </w:r>
          </w:p>
        </w:tc>
      </w:tr>
      <w:tr>
        <w:trPr>
          <w:trHeight w:val="231"/>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rPr>
              <w:t>Gary E. Pruitt</w:t>
            </w:r>
          </w:p>
        </w:tc>
      </w:tr>
      <w:tr>
        <w:trPr>
          <w:trHeight w:val="479"/>
        </w:trPr>
        <w:tc>
          <w:tcPr>
            <w:tcW w:w="140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color w:val="auto"/>
              </w:rPr>
              <w:t>/s/</w:t>
            </w:r>
          </w:p>
        </w:tc>
        <w:tc>
          <w:tcPr>
            <w:tcW w:w="2600" w:type="dxa"/>
            <w:vAlign w:val="bottom"/>
            <w:tcBorders>
              <w:bottom w:val="single" w:sz="8" w:color="auto"/>
            </w:tcBorders>
          </w:tcPr>
          <w:p>
            <w:pPr>
              <w:jc w:val="center"/>
              <w:ind w:right="1028"/>
              <w:spacing w:after="0"/>
              <w:rPr>
                <w:sz w:val="20"/>
                <w:szCs w:val="20"/>
                <w:color w:val="auto"/>
              </w:rPr>
            </w:pPr>
            <w:r>
              <w:rPr>
                <w:rFonts w:ascii="Arial" w:cs="Arial" w:eastAsia="Arial" w:hAnsi="Arial"/>
                <w:sz w:val="14"/>
                <w:szCs w:val="14"/>
                <w:color w:val="auto"/>
              </w:rPr>
              <w:t>DIANA D. TREMBLAY</w:t>
            </w:r>
          </w:p>
        </w:tc>
      </w:tr>
      <w:tr>
        <w:trPr>
          <w:trHeight w:val="231"/>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jc w:val="center"/>
              <w:ind w:right="1308"/>
              <w:spacing w:after="0"/>
              <w:rPr>
                <w:sz w:val="20"/>
                <w:szCs w:val="20"/>
                <w:color w:val="auto"/>
              </w:rPr>
            </w:pPr>
            <w:r>
              <w:rPr>
                <w:rFonts w:ascii="Arial" w:cs="Arial" w:eastAsia="Arial" w:hAnsi="Arial"/>
                <w:sz w:val="14"/>
                <w:szCs w:val="14"/>
                <w:b w:val="1"/>
                <w:bCs w:val="1"/>
                <w:color w:val="auto"/>
                <w:w w:val="96"/>
              </w:rPr>
              <w:t>Diana D. Tremblay</w:t>
            </w:r>
          </w:p>
        </w:tc>
      </w:tr>
      <w:tr>
        <w:trPr>
          <w:trHeight w:val="479"/>
        </w:trPr>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600" w:type="dxa"/>
            <w:vAlign w:val="bottom"/>
            <w:tcBorders>
              <w:bottom w:val="single" w:sz="8" w:color="auto"/>
            </w:tcBorders>
          </w:tcPr>
          <w:p>
            <w:pPr>
              <w:jc w:val="center"/>
              <w:ind w:right="1048"/>
              <w:spacing w:after="0"/>
              <w:rPr>
                <w:sz w:val="20"/>
                <w:szCs w:val="20"/>
                <w:color w:val="auto"/>
              </w:rPr>
            </w:pPr>
            <w:r>
              <w:rPr>
                <w:rFonts w:ascii="Arial" w:cs="Arial" w:eastAsia="Arial" w:hAnsi="Arial"/>
                <w:sz w:val="14"/>
                <w:szCs w:val="14"/>
                <w:color w:val="auto"/>
              </w:rPr>
              <w:t>LYNDA L. ZIEGLER</w:t>
            </w:r>
          </w:p>
        </w:tc>
      </w:tr>
      <w:tr>
        <w:trPr>
          <w:trHeight w:val="231"/>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jc w:val="center"/>
              <w:ind w:right="1328"/>
              <w:spacing w:after="0"/>
              <w:rPr>
                <w:sz w:val="20"/>
                <w:szCs w:val="20"/>
                <w:color w:val="auto"/>
              </w:rPr>
            </w:pPr>
            <w:r>
              <w:rPr>
                <w:rFonts w:ascii="Arial" w:cs="Arial" w:eastAsia="Arial" w:hAnsi="Arial"/>
                <w:sz w:val="14"/>
                <w:szCs w:val="14"/>
                <w:b w:val="1"/>
                <w:bCs w:val="1"/>
                <w:color w:val="auto"/>
                <w:w w:val="96"/>
              </w:rPr>
              <w:t>Lynda L. Ziegler</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37465</wp:posOffset>
            </wp:positionV>
            <wp:extent cx="45624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President and Chief Executive Officer (Principal Executive Officer), 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Executive Vice President and Chief Financial Officer (Principal Financial and Accounting Officer)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Chair of the Board</w:t>
      </w:r>
    </w:p>
    <w:p>
      <w:pPr>
        <w:spacing w:after="0" w:line="207" w:lineRule="exact"/>
        <w:rPr>
          <w:sz w:val="20"/>
          <w:szCs w:val="20"/>
          <w:color w:val="auto"/>
        </w:rPr>
      </w:pPr>
    </w:p>
    <w:p>
      <w:pPr>
        <w:sectPr>
          <w:pgSz w:w="11900" w:h="16838" w:orient="portrait"/>
          <w:cols w:equalWidth="0" w:num="2">
            <w:col w:w="4000" w:space="260"/>
            <w:col w:w="7160"/>
          </w:cols>
          <w:pgMar w:left="240" w:top="364" w:right="239" w:bottom="1440" w:gutter="0" w:footer="0" w:header="0"/>
          <w:type w:val="continuous"/>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364" w:right="239" w:bottom="1440" w:gutter="0" w:footer="0" w:header="0"/>
          <w:type w:val="continuous"/>
        </w:sectPr>
      </w:pPr>
    </w:p>
    <w:bookmarkStart w:id="102" w:name="page103"/>
    <w:bookmarkEnd w:id="102"/>
    <w:p>
      <w:pPr>
        <w:spacing w:after="0"/>
        <w:tabs>
          <w:tab w:leader="none" w:pos="1400" w:val="left"/>
        </w:tabs>
        <w:rPr>
          <w:sz w:val="20"/>
          <w:szCs w:val="20"/>
          <w:color w:val="auto"/>
        </w:rPr>
      </w:pPr>
      <w:r>
        <w:rPr>
          <w:rFonts w:ascii="Arial" w:cs="Arial" w:eastAsia="Arial" w:hAnsi="Arial"/>
          <w:sz w:val="18"/>
          <w:szCs w:val="18"/>
          <w:b w:val="1"/>
          <w:bCs w:val="1"/>
          <w:color w:val="auto"/>
        </w:rPr>
        <w:t>SCHEDULE II:</w:t>
        <w:tab/>
        <w:t>VALUATION AND QUALIFYING ACCOUNTS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26155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Year ended December 31, 2016:</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tax assets valuation allowance</w:t>
      </w:r>
    </w:p>
    <w:p>
      <w:pPr>
        <w:spacing w:after="0" w:line="244" w:lineRule="exact"/>
        <w:rPr>
          <w:sz w:val="20"/>
          <w:szCs w:val="20"/>
          <w:color w:val="auto"/>
        </w:rPr>
      </w:pPr>
    </w:p>
    <w:p>
      <w:pPr>
        <w:ind w:left="80"/>
        <w:spacing w:after="0"/>
        <w:rPr>
          <w:sz w:val="20"/>
          <w:szCs w:val="20"/>
          <w:color w:val="auto"/>
        </w:rPr>
      </w:pPr>
      <w:r>
        <w:rPr>
          <w:rFonts w:ascii="Arial" w:cs="Arial" w:eastAsia="Arial" w:hAnsi="Arial"/>
          <w:sz w:val="16"/>
          <w:szCs w:val="16"/>
          <w:i w:val="1"/>
          <w:iCs w:val="1"/>
          <w:color w:val="auto"/>
        </w:rPr>
        <w:t>Year ended December 31, 2015:</w:t>
      </w:r>
    </w:p>
    <w:p>
      <w:pPr>
        <w:spacing w:after="0" w:line="208" w:lineRule="exact"/>
        <w:rPr>
          <w:sz w:val="20"/>
          <w:szCs w:val="20"/>
          <w:color w:val="auto"/>
        </w:rPr>
      </w:pPr>
    </w:p>
    <w:p>
      <w:pPr>
        <w:jc w:val="right"/>
        <w:ind w:right="560"/>
        <w:spacing w:after="0"/>
        <w:rPr>
          <w:sz w:val="20"/>
          <w:szCs w:val="20"/>
          <w:color w:val="auto"/>
        </w:rPr>
      </w:pPr>
      <w:r>
        <w:rPr>
          <w:rFonts w:ascii="Arial" w:cs="Arial" w:eastAsia="Arial" w:hAnsi="Arial"/>
          <w:sz w:val="16"/>
          <w:szCs w:val="16"/>
          <w:color w:val="auto"/>
        </w:rPr>
        <w:t>Deferred tax assets valuation allowance</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Balance at</w:t>
            </w:r>
          </w:p>
        </w:tc>
      </w:tr>
      <w:tr>
        <w:trPr>
          <w:trHeight w:val="203"/>
        </w:trPr>
        <w:tc>
          <w:tcPr>
            <w:tcW w:w="180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Balance at Beginning of</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Additions Charged to</w:t>
            </w:r>
          </w:p>
        </w:tc>
        <w:tc>
          <w:tcPr>
            <w:tcW w:w="32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End of Period,</w:t>
            </w:r>
          </w:p>
        </w:tc>
      </w:tr>
      <w:tr>
        <w:trPr>
          <w:trHeight w:val="210"/>
        </w:trPr>
        <w:tc>
          <w:tcPr>
            <w:tcW w:w="380" w:type="dxa"/>
            <w:vAlign w:val="bottom"/>
          </w:tcPr>
          <w:p>
            <w:pPr>
              <w:spacing w:after="0"/>
              <w:rPr>
                <w:sz w:val="18"/>
                <w:szCs w:val="18"/>
                <w:color w:val="auto"/>
              </w:rPr>
            </w:pPr>
          </w:p>
        </w:tc>
        <w:tc>
          <w:tcPr>
            <w:tcW w:w="1420" w:type="dxa"/>
            <w:vAlign w:val="bottom"/>
          </w:tcPr>
          <w:p>
            <w:pPr>
              <w:jc w:val="right"/>
              <w:ind w:right="619"/>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Other Adjustments</w:t>
            </w:r>
          </w:p>
        </w:tc>
        <w:tc>
          <w:tcPr>
            <w:tcW w:w="220" w:type="dxa"/>
            <w:vAlign w:val="bottom"/>
          </w:tcPr>
          <w:p>
            <w:pPr>
              <w:spacing w:after="0"/>
              <w:rPr>
                <w:sz w:val="18"/>
                <w:szCs w:val="18"/>
                <w:color w:val="auto"/>
              </w:rPr>
            </w:pPr>
          </w:p>
        </w:tc>
        <w:tc>
          <w:tcPr>
            <w:tcW w:w="1560" w:type="dxa"/>
            <w:vAlign w:val="bottom"/>
          </w:tcPr>
          <w:p>
            <w:pPr>
              <w:jc w:val="right"/>
              <w:ind w:right="99"/>
              <w:spacing w:after="0"/>
              <w:rPr>
                <w:sz w:val="20"/>
                <w:szCs w:val="20"/>
                <w:color w:val="auto"/>
              </w:rPr>
            </w:pPr>
            <w:r>
              <w:rPr>
                <w:rFonts w:ascii="Arial" w:cs="Arial" w:eastAsia="Arial" w:hAnsi="Arial"/>
                <w:sz w:val="16"/>
                <w:szCs w:val="16"/>
                <w:b w:val="1"/>
                <w:bCs w:val="1"/>
                <w:color w:val="auto"/>
                <w:w w:val="86"/>
              </w:rPr>
              <w:t>Costs and Expenses</w:t>
            </w:r>
          </w:p>
        </w:tc>
        <w:tc>
          <w:tcPr>
            <w:tcW w:w="320" w:type="dxa"/>
            <w:vAlign w:val="bottom"/>
          </w:tcPr>
          <w:p>
            <w:pPr>
              <w:spacing w:after="0"/>
              <w:rPr>
                <w:sz w:val="18"/>
                <w:szCs w:val="18"/>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Noncurrent</w:t>
            </w:r>
          </w:p>
        </w:tc>
      </w:tr>
      <w:tr>
        <w:trPr>
          <w:trHeight w:val="33"/>
        </w:trPr>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gridSpan w:val="3"/>
          </w:tcPr>
          <w:p>
            <w:pPr>
              <w:jc w:val="right"/>
              <w:ind w:right="121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797"/>
        </w:trPr>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235,339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(12,419)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26,640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249,560</w:t>
            </w:r>
          </w:p>
        </w:tc>
      </w:tr>
      <w:tr>
        <w:trPr>
          <w:trHeight w:val="797"/>
        </w:trPr>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99"/>
              <w:spacing w:after="0"/>
              <w:rPr>
                <w:sz w:val="20"/>
                <w:szCs w:val="20"/>
                <w:color w:val="auto"/>
              </w:rPr>
            </w:pPr>
            <w:r>
              <w:rPr>
                <w:rFonts w:ascii="Arial" w:cs="Arial" w:eastAsia="Arial" w:hAnsi="Arial"/>
                <w:sz w:val="16"/>
                <w:szCs w:val="16"/>
                <w:color w:val="auto"/>
              </w:rPr>
              <w:t>257,728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(62,791)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40,402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235,339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-655955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-149860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520" w:space="720"/>
            <w:col w:w="7180"/>
          </w:cols>
          <w:pgMar w:left="240" w:top="364" w:right="239" w:bottom="1440" w:gutter="0" w:footer="0" w:header="0"/>
          <w:type w:val="continuous"/>
        </w:sectPr>
      </w:pPr>
    </w:p>
    <w:tbl>
      <w:tblPr>
        <w:tblLayout w:type="fixed"/>
        <w:tblInd w:w="80" w:type="dxa"/>
        <w:tblCellMar>
          <w:top w:w="0" w:type="dxa"/>
          <w:left w:w="0" w:type="dxa"/>
          <w:bottom w:w="0" w:type="dxa"/>
          <w:right w:w="0" w:type="dxa"/>
        </w:tblCellMar>
      </w:tblPr>
      <w:tr>
        <w:trPr>
          <w:trHeight w:val="206"/>
        </w:trPr>
        <w:tc>
          <w:tcPr>
            <w:tcW w:w="3540" w:type="dxa"/>
            <w:vAlign w:val="bottom"/>
          </w:tcPr>
          <w:p>
            <w:pPr>
              <w:spacing w:after="0"/>
              <w:rPr>
                <w:sz w:val="20"/>
                <w:szCs w:val="20"/>
                <w:color w:val="auto"/>
              </w:rPr>
            </w:pPr>
            <w:r>
              <w:rPr>
                <w:rFonts w:ascii="Arial" w:cs="Arial" w:eastAsia="Arial" w:hAnsi="Arial"/>
                <w:sz w:val="16"/>
                <w:szCs w:val="16"/>
                <w:i w:val="1"/>
                <w:iCs w:val="1"/>
                <w:color w:val="auto"/>
              </w:rPr>
              <w:t>Year ended December 31, 2014:</w:t>
            </w:r>
          </w:p>
        </w:tc>
        <w:tc>
          <w:tcPr>
            <w:tcW w:w="1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3540" w:type="dxa"/>
            <w:vAlign w:val="bottom"/>
          </w:tcPr>
          <w:p>
            <w:pPr>
              <w:ind w:left="300"/>
              <w:spacing w:after="0"/>
              <w:rPr>
                <w:sz w:val="20"/>
                <w:szCs w:val="20"/>
                <w:color w:val="auto"/>
              </w:rPr>
            </w:pPr>
            <w:r>
              <w:rPr>
                <w:rFonts w:ascii="Arial" w:cs="Arial" w:eastAsia="Arial" w:hAnsi="Arial"/>
                <w:sz w:val="16"/>
                <w:szCs w:val="16"/>
                <w:color w:val="auto"/>
              </w:rPr>
              <w:t>Deferred tax assets valuation allowance</w:t>
            </w:r>
          </w:p>
        </w:tc>
        <w:tc>
          <w:tcPr>
            <w:tcW w:w="12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162,588</w:t>
            </w:r>
          </w:p>
        </w:tc>
        <w:tc>
          <w:tcPr>
            <w:tcW w:w="74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(4,913)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100,053</w:t>
            </w:r>
          </w:p>
        </w:tc>
        <w:tc>
          <w:tcPr>
            <w:tcW w:w="68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257,728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4" w:right="23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Richard J. Christensen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de Vere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L.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Bruce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Faerber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G. Hrivnak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Mark Schmitz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 C. Cadieux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Deitrich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Bruce Douglas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Jaehnert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Jerome Lande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Leyden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Mainz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S. Pelino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Simon Pontin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 Mark Schmitz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Diana Tremblay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Lynda L. Ziegler</w:t>
      </w:r>
    </w:p>
    <w:p>
      <w:pPr>
        <w:sectPr>
          <w:pgSz w:w="11900" w:h="16838" w:orient="portrait"/>
          <w:cols w:equalWidth="0" w:num="1">
            <w:col w:w="11420"/>
          </w:cols>
          <w:pgMar w:left="240" w:top="580"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649"/>
        </w:trPr>
        <w:tc>
          <w:tcPr>
            <w:tcW w:w="3200" w:type="dxa"/>
            <w:vAlign w:val="bottom"/>
          </w:tcPr>
          <w:p>
            <w:pPr>
              <w:spacing w:after="0"/>
              <w:rPr>
                <w:sz w:val="24"/>
                <w:szCs w:val="24"/>
                <w:color w:val="auto"/>
              </w:rPr>
            </w:pPr>
          </w:p>
        </w:tc>
        <w:tc>
          <w:tcPr>
            <w:tcW w:w="5620" w:type="dxa"/>
            <w:vAlign w:val="bottom"/>
            <w:gridSpan w:val="10"/>
          </w:tcPr>
          <w:p>
            <w:pPr>
              <w:jc w:val="center"/>
              <w:ind w:right="600"/>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5"/>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2012</w:t>
            </w: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(in thousands, except ratios)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125,194</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571</w:t>
            </w:r>
          </w:p>
        </w:tc>
      </w:tr>
      <w:tr>
        <w:trPr>
          <w:trHeight w:val="33"/>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w:t>
            </w:r>
          </w:p>
        </w:tc>
      </w:tr>
      <w:tr>
        <w:trPr>
          <w:trHeight w:val="33"/>
        </w:trPr>
        <w:tc>
          <w:tcPr>
            <w:tcW w:w="3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123,299</w:t>
            </w:r>
          </w:p>
        </w:tc>
      </w:tr>
      <w:tr>
        <w:trPr>
          <w:trHeight w:val="297"/>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10,948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10,115</w:t>
            </w: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6,462</w:t>
            </w:r>
          </w:p>
        </w:tc>
      </w:tr>
      <w:tr>
        <w:trPr>
          <w:trHeight w:val="29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5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16,577</w:t>
            </w:r>
          </w:p>
        </w:tc>
      </w:tr>
      <w:tr>
        <w:trPr>
          <w:trHeight w:val="291"/>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97,192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139,876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3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23"/>
                <w:szCs w:val="23"/>
                <w:color w:val="auto"/>
              </w:rPr>
            </w:pP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8.4</w:t>
            </w:r>
          </w:p>
        </w:tc>
      </w:tr>
      <w:tr>
        <w:trPr>
          <w:trHeight w:val="297"/>
        </w:trPr>
        <w:tc>
          <w:tcPr>
            <w:tcW w:w="3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center"/>
              <w:ind w:left="279"/>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r>
    </w:tbl>
    <w:p>
      <w:pPr>
        <w:spacing w:after="0" w:line="235" w:lineRule="exact"/>
        <w:rPr>
          <w:sz w:val="20"/>
          <w:szCs w:val="20"/>
          <w:color w:val="auto"/>
        </w:rPr>
      </w:pPr>
    </w:p>
    <w:p>
      <w:pPr>
        <w:ind w:left="340" w:hanging="332"/>
        <w:spacing w:after="0" w:line="216"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580"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w w:val="99"/>
              </w:rPr>
              <w:t>CONSOLIDATED SUBSIDIARIES OF THE REGISTRANT AT DECEMBER 31, 2016</w:t>
            </w: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42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gridSpan w:val="2"/>
          </w:tcPr>
          <w:p>
            <w:pPr>
              <w:spacing w:after="0"/>
              <w:rPr>
                <w:sz w:val="24"/>
                <w:szCs w:val="24"/>
                <w:color w:val="auto"/>
              </w:rPr>
            </w:pPr>
          </w:p>
        </w:tc>
      </w:tr>
      <w:tr>
        <w:trPr>
          <w:trHeight w:val="291"/>
        </w:trPr>
        <w:tc>
          <w:tcPr>
            <w:tcW w:w="6800" w:type="dxa"/>
            <w:vAlign w:val="bottom"/>
            <w:gridSpan w:val="3"/>
          </w:tcPr>
          <w:p>
            <w:pPr>
              <w:spacing w:after="0"/>
              <w:rPr>
                <w:sz w:val="20"/>
                <w:szCs w:val="20"/>
                <w:color w:val="auto"/>
              </w:rPr>
            </w:pPr>
            <w:r>
              <w:rPr>
                <w:rFonts w:ascii="Arial" w:cs="Arial" w:eastAsia="Arial" w:hAnsi="Arial"/>
                <w:sz w:val="18"/>
                <w:szCs w:val="18"/>
                <w:color w:val="auto"/>
              </w:rPr>
              <w:t>Itron International,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Washington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Washington</w:t>
            </w:r>
          </w:p>
        </w:tc>
      </w:tr>
      <w:tr>
        <w:trPr>
          <w:trHeight w:val="554"/>
        </w:trPr>
        <w:tc>
          <w:tcPr>
            <w:tcW w:w="6800" w:type="dxa"/>
            <w:vAlign w:val="bottom"/>
            <w:gridSpan w:val="3"/>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560" w:type="dxa"/>
            <w:vAlign w:val="bottom"/>
            <w:gridSpan w:val="4"/>
          </w:tcPr>
          <w:p>
            <w:pPr>
              <w:ind w:left="4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9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Itron Argentina S.A.</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Argentina</w:t>
            </w:r>
          </w:p>
        </w:tc>
        <w:tc>
          <w:tcPr>
            <w:tcW w:w="1000" w:type="dxa"/>
            <w:vAlign w:val="bottom"/>
          </w:tcPr>
          <w:p>
            <w:pPr>
              <w:spacing w:after="0"/>
              <w:rPr>
                <w:sz w:val="24"/>
                <w:szCs w:val="24"/>
                <w:color w:val="auto"/>
              </w:rPr>
            </w:pP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Australasia Pty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Australia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Austria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Austria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Belgium SPRL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Management Services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Contigea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Belgium</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Sistemas e Tecnologia Ltda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Soluções para Energia e Àgua Ltda.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Brazil</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China Gas Holding Co. Ltd. (J.V. Majority)</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British Virgin Islands</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Canada, Inc.</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Canada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Compañía Chilena de Medición S.A.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Chile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(Suzhou)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Systems (Suzhou)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China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Czech Republic s.r.o.</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Czech Republic</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Asais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Asais Conseil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France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France S.A.S.</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France</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Holding Germany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Zähler &amp; Systemtechnik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Unterstutzungskasse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Allmess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Unterstutzungseinrichtung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SEWA GmbH</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Germany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Ganz Meter Company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Hungary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India Private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India Private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PT Mecoindo (J.V.)</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Indonesia</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Management Services Ireland,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Temetra Limited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Ireland</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Italia SpA</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Italy</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Japan Co., Ltd.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Japan</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Metering Solutions Luxembourg</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Luxembourg</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Itron Global</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Luxembourg</w:t>
            </w:r>
          </w:p>
        </w:tc>
      </w:tr>
      <w:tr>
        <w:trPr>
          <w:trHeight w:val="270"/>
        </w:trPr>
        <w:tc>
          <w:tcPr>
            <w:tcW w:w="6800" w:type="dxa"/>
            <w:vAlign w:val="bottom"/>
            <w:gridSpan w:val="3"/>
          </w:tcPr>
          <w:p>
            <w:pPr>
              <w:spacing w:after="0"/>
              <w:rPr>
                <w:sz w:val="20"/>
                <w:szCs w:val="20"/>
                <w:color w:val="auto"/>
              </w:rPr>
            </w:pPr>
            <w:r>
              <w:rPr>
                <w:rFonts w:ascii="Arial" w:cs="Arial" w:eastAsia="Arial" w:hAnsi="Arial"/>
                <w:sz w:val="18"/>
                <w:szCs w:val="18"/>
                <w:color w:val="auto"/>
              </w:rPr>
              <w:t>Metertek Sdn Bhd (J.V. 100% indirectly owned)</w:t>
            </w:r>
          </w:p>
        </w:tc>
        <w:tc>
          <w:tcPr>
            <w:tcW w:w="4560" w:type="dxa"/>
            <w:vAlign w:val="bottom"/>
            <w:gridSpan w:val="4"/>
          </w:tcPr>
          <w:p>
            <w:pPr>
              <w:ind w:left="40"/>
              <w:spacing w:after="0"/>
              <w:rPr>
                <w:sz w:val="20"/>
                <w:szCs w:val="20"/>
                <w:color w:val="auto"/>
              </w:rPr>
            </w:pPr>
            <w:r>
              <w:rPr>
                <w:rFonts w:ascii="Arial" w:cs="Arial" w:eastAsia="Arial" w:hAnsi="Arial"/>
                <w:sz w:val="18"/>
                <w:szCs w:val="18"/>
                <w:color w:val="auto"/>
              </w:rPr>
              <w:t>Malaysia</w:t>
            </w:r>
          </w:p>
        </w:tc>
      </w:tr>
    </w:tbl>
    <w:p>
      <w:pPr>
        <w:sectPr>
          <w:pgSz w:w="11900" w:h="16838" w:orient="portrait"/>
          <w:cols w:equalWidth="0" w:num="1">
            <w:col w:w="11360"/>
          </w:cols>
          <w:pgMar w:left="280" w:top="742" w:right="25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980" w:type="dxa"/>
            <w:vAlign w:val="bottom"/>
            <w:gridSpan w:val="2"/>
          </w:tcPr>
          <w:p>
            <w:pPr>
              <w:ind w:left="146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Servicios, S.A. de C.V.</w:t>
            </w:r>
          </w:p>
        </w:tc>
        <w:tc>
          <w:tcPr>
            <w:tcW w:w="2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Mexico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Distribución S.A. de C.V.</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Mexico</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Inal-Industria Nacional de Precisão Limitada (J.V.)</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Mozambique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Netherlands</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Poland</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Portugal</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Portugal</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Portugal</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Qatar</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Republic of South Africa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Russia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Saudi Arabia</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Singapore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Spain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Sweden</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Ukraine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Ukraine</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United Kingdom</w:t>
            </w:r>
          </w:p>
        </w:tc>
      </w:tr>
      <w:tr>
        <w:trPr>
          <w:trHeight w:val="270"/>
        </w:trPr>
        <w:tc>
          <w:tcPr>
            <w:tcW w:w="538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980" w:type="dxa"/>
            <w:vAlign w:val="bottom"/>
            <w:gridSpan w:val="2"/>
          </w:tcPr>
          <w:p>
            <w:pPr>
              <w:ind w:left="146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60"/>
          </w:cols>
          <w:pgMar w:left="280" w:top="729" w:right="12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333-40356, 333-89966, 333-97571, 333-110703, 333-115987, 333-125461, 333-134749, 333-143048, 333-166601, 333-181685, 333-193970, and No. 333-195633 on Form S-8 of our reports dated February 28, 2017, relating to the consolidated financial statements and financial statement schedule of Itron, Inc. and subsidiaries (“the Company”), and the effectiveness of the Company’s internal control over financial reporting, appearing in this Annual Report on Form 10-K of Itron, Inc. for the year ended December 31, 2016.</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DELOITTE &amp; TOUCHE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2017</w:t>
      </w:r>
    </w:p>
    <w:p>
      <w:pPr>
        <w:sectPr>
          <w:pgSz w:w="11900" w:h="16838" w:orient="portrait"/>
          <w:cols w:equalWidth="0" w:num="1">
            <w:col w:w="11420"/>
          </w:cols>
          <w:pgMar w:left="240" w:top="580"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00"/>
        <w:spacing w:after="0"/>
        <w:rPr>
          <w:sz w:val="20"/>
          <w:szCs w:val="20"/>
          <w:color w:val="auto"/>
        </w:rPr>
      </w:pPr>
      <w:r>
        <w:rPr>
          <w:rFonts w:ascii="Arial" w:cs="Arial" w:eastAsia="Arial" w:hAnsi="Arial"/>
          <w:sz w:val="20"/>
          <w:szCs w:val="20"/>
          <w:b w:val="1"/>
          <w:bCs w:val="1"/>
          <w:color w:val="auto"/>
        </w:rPr>
        <w:t>Consent of Ernst &amp; Young LLP,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333-40356) pertaining to the Itron, Inc. 2000 Stock Incentive Compensation Plan,</w:t>
      </w:r>
    </w:p>
    <w:p>
      <w:pPr>
        <w:spacing w:after="0" w:line="15"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333-89966) pertaining to the Itron, Inc. 2002 Employee Stock Purchase Plan,</w:t>
      </w:r>
    </w:p>
    <w:p>
      <w:pPr>
        <w:ind w:left="820" w:hanging="488"/>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333-110703) pertaining to the Itron, Inc. Incentive Savings Plan,</w:t>
      </w:r>
    </w:p>
    <w:p>
      <w:pPr>
        <w:ind w:left="820" w:hanging="488"/>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 w:lineRule="exact"/>
        <w:rPr>
          <w:rFonts w:ascii="Arial" w:cs="Arial" w:eastAsia="Arial" w:hAnsi="Arial"/>
          <w:sz w:val="16"/>
          <w:szCs w:val="16"/>
          <w:color w:val="auto"/>
        </w:rPr>
      </w:pPr>
    </w:p>
    <w:p>
      <w:pPr>
        <w:ind w:left="820" w:right="260" w:hanging="488"/>
        <w:spacing w:after="0" w:line="23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333-125461) pertaining to the Itron, Inc. Amended and Restated 2000 Stock Incentive Plan, and the Itron, Inc. Amended and Restated 2002 Employee Stock Purchase Plan,</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 w:lineRule="exact"/>
        <w:rPr>
          <w:rFonts w:ascii="Arial" w:cs="Arial" w:eastAsia="Arial" w:hAnsi="Arial"/>
          <w:sz w:val="16"/>
          <w:szCs w:val="16"/>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333-166601) pertaining to the Itron, Inc. 2010 Stock Incentive Plan,</w:t>
      </w: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333-181685) pertaining to the Itron, Inc. 2012 Employee Stock Purchase Plan,</w:t>
      </w: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20"/>
          <w:szCs w:val="20"/>
          <w:color w:val="auto"/>
        </w:rPr>
        <w:t>Registration Statement (Form S-8 No. 333-193970) pertaining to the Itron, Inc. 2010 Stock Incentive Plan, and</w:t>
      </w:r>
    </w:p>
    <w:p>
      <w:pPr>
        <w:ind w:left="820" w:hanging="488"/>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8"/>
          <w:szCs w:val="18"/>
          <w:color w:val="auto"/>
        </w:rPr>
        <w:t>Registration Statement (Form S-8 No. 333-195633) pertaining to the Itron, Inc. Amended and Restated 2010 Stock Incentive Plan.</w:t>
      </w:r>
    </w:p>
    <w:p>
      <w:pPr>
        <w:spacing w:after="0" w:line="223"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of our report dated June 29, 2016, with respect to the consolidated financial statements and schedule of Itron, Inc. included in this Annual Report (Form 10-K) of Itron, Inc.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Seattle, Washington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28, 2017</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7"/>
          <w:szCs w:val="17"/>
          <w:b w:val="1"/>
          <w:bCs w:val="1"/>
          <w:color w:val="auto"/>
        </w:rPr>
        <w:t>Philip C. Mezey President and Chief Executive</w:t>
      </w:r>
    </w:p>
    <w:p>
      <w:pPr>
        <w:spacing w:after="0" w:line="39"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 Mark Schmitz, certify that:</w:t>
      </w:r>
    </w:p>
    <w:p>
      <w:pPr>
        <w:spacing w:after="0" w:line="1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2016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Philip C. Mezey, the Chief Executive Officer and W. Mark Schmitz,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28, 2017</w:t>
      </w:r>
    </w:p>
    <w:p>
      <w:pPr>
        <w:spacing w:after="0" w:line="31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 W. MARK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W. Mark Schmitz</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28, 2017</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upperLetter"/>
      <w:start w:val="15"/>
    </w:lvl>
  </w:abstractNum>
  <w:abstractNum w:abstractNumId="5">
    <w:nsid w:val="257130A3"/>
    <w:multiLevelType w:val="hybridMultilevel"/>
    <w:lvl w:ilvl="0">
      <w:lvlJc w:val="left"/>
      <w:lvlText w:val="(%1)"/>
      <w:numFmt w:val="upperLetter"/>
      <w:start w:val="12"/>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2019-12-29T08:15:17Z</dcterms:created>
  <dcterms:modified xsi:type="dcterms:W3CDTF">2019-12-29T08:15:17Z</dcterms:modified>
</cp:coreProperties>
</file>