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31,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Washington</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000-22418</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91-1011792</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2111 N. Molter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Liberty Lake, Washington 99019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ITRI</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October 31, 2024, Itron, Inc. issued a press release announcing its financial results for the three and nine months ended September 30, 2024. A copy of this press release and accompanying financial statements are attached as Exhibit 99.1.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351"/>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Exhibit Number</w:t>
            </w:r>
          </w:p>
        </w:tc>
        <w:tc>
          <w:tcPr>
            <w:tcW w:w="140" w:type="dxa"/>
            <w:vAlign w:val="bottom"/>
          </w:tcPr>
          <w:p>
            <w:pPr>
              <w:spacing w:after="0"/>
              <w:rPr>
                <w:sz w:val="24"/>
                <w:szCs w:val="24"/>
                <w:color w:val="auto"/>
              </w:rPr>
            </w:pPr>
          </w:p>
        </w:tc>
        <w:tc>
          <w:tcPr>
            <w:tcW w:w="59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41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24"/>
                <w:szCs w:val="24"/>
                <w:color w:val="auto"/>
              </w:rPr>
            </w:pPr>
          </w:p>
        </w:tc>
        <w:tc>
          <w:tcPr>
            <w:tcW w:w="59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0000EE"/>
              </w:rPr>
              <w:t>Press Release Dated October 31, 2024.*</w:t>
            </w:r>
          </w:p>
        </w:tc>
      </w:tr>
      <w:tr>
        <w:trPr>
          <w:trHeight w:val="20"/>
        </w:trPr>
        <w:tc>
          <w:tcPr>
            <w:tcW w:w="3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9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exhibit is intended to be furnished and shall not be deemed "filed" for purposes of the Exchange 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release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release.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and other factors that are more fully described in Part I, Item 1A: Risk Factors included in our Annual Report on Form 10-K for the year ended December 31, 2023 and other reports on file with the Securities and Exchange Commission. Itron undertakes no obligation to update or revise any information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41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Itron, Inc.</w:t>
            </w:r>
          </w:p>
        </w:tc>
      </w:tr>
      <w:tr>
        <w:trPr>
          <w:trHeight w:val="68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31, 2024</w:t>
            </w:r>
          </w:p>
        </w:tc>
        <w:tc>
          <w:tcPr>
            <w:tcW w:w="41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JOAN S. HOOPER</w:t>
            </w:r>
          </w:p>
        </w:tc>
      </w:tr>
      <w:tr>
        <w:trPr>
          <w:trHeight w:val="237"/>
        </w:trPr>
        <w:tc>
          <w:tcPr>
            <w:tcW w:w="35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Joan S. Hooper</w:t>
            </w:r>
          </w:p>
        </w:tc>
      </w:tr>
    </w:tbl>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00"/>
          </w:cols>
          <w:pgMar w:left="320" w:top="536"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Itron Announces Third Quarter 2024 Financial Results</w:t>
      </w:r>
    </w:p>
    <w:p>
      <w:pPr>
        <w:spacing w:after="0" w:line="227" w:lineRule="exact"/>
        <w:rPr>
          <w:sz w:val="20"/>
          <w:szCs w:val="20"/>
          <w:color w:val="auto"/>
        </w:rPr>
      </w:pPr>
    </w:p>
    <w:p>
      <w:pPr>
        <w:jc w:val="both"/>
        <w:ind w:right="340"/>
        <w:spacing w:after="0" w:line="244" w:lineRule="auto"/>
        <w:rPr>
          <w:sz w:val="20"/>
          <w:szCs w:val="20"/>
          <w:color w:val="auto"/>
        </w:rPr>
      </w:pPr>
      <w:r>
        <w:rPr>
          <w:rFonts w:ascii="Times New Roman" w:cs="Times New Roman" w:eastAsia="Times New Roman" w:hAnsi="Times New Roman"/>
          <w:sz w:val="22"/>
          <w:szCs w:val="22"/>
          <w:color w:val="auto"/>
        </w:rPr>
        <w:t>LIBERTY LAKE, Wash., Oct. 31, 2024 (GLOBE NEWSWIRE) -- Itron, Inc. (NASDAQ: ITRI), which is innovating the way utilities and cities manage energy and water, announced today financial results for its third quarter ended September 30, 2024. Key results for the quarter include (compared with the third quarter of 2023):</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Revenue of $615 million, increased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Gross profit of $210 million, increased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GAAP net income attributable to Itron, Inc. of $78 million, increased $38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GAAP diluted earnings per share of $1.70, increased $0.83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Non-GAAP diluted EPS of $1.84, increased $0.86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Adjusted EBITDA of $89 million, increased 29%;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Free cash flow of $59 million, increased $30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"Operational momentum continued during the third quarter and solid execution by our team led to results ahead of expectations.” said Tom Deitrich, Itron’s president and CEO. “The market, fueled by growth in energy and water demand, and increasing need to make infrastructure more agile aligns with Itron’s grid edge intelligence platform, uniquely positioning us to help our customers meet or exceed their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Third Quarter Consolidated Financial Results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comparisons made are against the prior year period unless otherwise noted)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Revenue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Total third quarter revenue increased 10%, to $615 million, due to strong operational execution.</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Device Solutions revenue increased 11%, or 10% in constant currency, due primarily to growth in smart water and electric demand.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Networked Solutions revenue increased 8%, due primarily to increased new projects and ongoing deployments.</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Outcomes revenue increased 17%, or 16% in constant currency, due primarily to an increase in recurring revenue, services, and software.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Gross Margin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Itron's third quarter gross margin of 34.1% increased 70 basis points from the prior year due to operational efficiencies.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Operating Expenses and Operating Income</w:t>
      </w:r>
    </w:p>
    <w:p>
      <w:pPr>
        <w:spacing w:after="0" w:line="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GAAP operating expenses of $136 million increased $3 million from the prior year. Non-GAAP operating expenses of $131 million increased $2 million.</w:t>
      </w:r>
    </w:p>
    <w:p>
      <w:pPr>
        <w:spacing w:after="0" w:line="1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GAAP operating income of $74 million was $19 million higher than the prior year and non-GAAP operating income of $79 million was $20 million higher than the prior year. Both increases were due to higher gross profit, partially offset by higher 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Net Income and Earnings per Share</w:t>
      </w:r>
    </w:p>
    <w:p>
      <w:pPr>
        <w:spacing w:after="0" w:line="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Net income attributable to Itron, Inc. for the quarter was $78 million, or $1.70 per diluted share, compared with net income attributable to Itron, Inc. of $40 million, or $0.87 per diluted share in 2023. The increase was driven by higher GAAP operating income and interest income, and less tax expense.</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Non-GAAP net income attributable to Itron, Inc., which excludes the expenses associated with amortization of intangible assets, amortization of debt placement fees, restructuring, loss on sale of business, strategic initiatives, acquisition and integration, and the tax effect of excluding these expenses, was $84 million, or $1.84 per diluted share, compared with $45 million, or $0.98 per diluted share, in 2023. The increase was due to higher non-GAAP operating income and interest income, and less tax expense.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Both GAAP and Non-GAAP net income and EPS benefited from a favorable resolution of a foreign tax audit resulting in an increase in net income of approximately $14 million or $0.30 cents per diluted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Cash Flow</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 cash provided by operating activities was $65 million in the third quarter compared with $34 million in the prior year. Free</w:t>
      </w:r>
    </w:p>
    <w:p>
      <w:pPr>
        <w:sectPr>
          <w:pgSz w:w="11900" w:h="16838" w:orient="portrait"/>
          <w:cols w:equalWidth="0" w:num="1">
            <w:col w:w="11240"/>
          </w:cols>
          <w:pgMar w:left="320" w:top="108" w:right="339" w:bottom="0" w:gutter="0" w:footer="0" w:header="0"/>
        </w:sectPr>
      </w:pPr>
    </w:p>
    <w:bookmarkStart w:id="4" w:name="page5"/>
    <w:bookmarkEnd w:id="4"/>
    <w:p>
      <w:pPr>
        <w:jc w:val="both"/>
        <w:ind w:right="20"/>
        <w:spacing w:after="0" w:line="259" w:lineRule="auto"/>
        <w:rPr>
          <w:sz w:val="20"/>
          <w:szCs w:val="20"/>
          <w:color w:val="auto"/>
        </w:rPr>
      </w:pPr>
      <w:r>
        <w:rPr>
          <w:rFonts w:ascii="Times New Roman" w:cs="Times New Roman" w:eastAsia="Times New Roman" w:hAnsi="Times New Roman"/>
          <w:sz w:val="22"/>
          <w:szCs w:val="22"/>
          <w:color w:val="auto"/>
        </w:rPr>
        <w:t>cash flow was $59 million in the third quarter compared with $28 million in the prior year. The increase in free cash flow was primarily due to higher earnings.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Measures</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Total backlog at quarter end was $4.0 billion compared with $4.2 billion in the prior year. Bookings in the quarter totaled $487 million.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Q4 2024 Outlook and Full Year 2024 Guidance Update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Outlook for the fourth quarter of 2024 is as follows:</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Revenue between $600 and $610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Non-GAAP diluted EPS between $1.00 and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Itron's guidance for the full year 2024 has been updated as follows:</w:t>
      </w:r>
    </w:p>
    <w:p>
      <w:pPr>
        <w:spacing w:after="0" w:line="206" w:lineRule="exact"/>
        <w:rPr>
          <w:sz w:val="20"/>
          <w:szCs w:val="20"/>
          <w:color w:val="auto"/>
        </w:rPr>
      </w:pPr>
    </w:p>
    <w:p>
      <w:pPr>
        <w:ind w:left="540" w:right="3040"/>
        <w:spacing w:after="0" w:line="282" w:lineRule="auto"/>
        <w:rPr>
          <w:sz w:val="20"/>
          <w:szCs w:val="20"/>
          <w:color w:val="auto"/>
        </w:rPr>
      </w:pPr>
      <w:r>
        <w:rPr>
          <w:rFonts w:ascii="Times New Roman" w:cs="Times New Roman" w:eastAsia="Times New Roman" w:hAnsi="Times New Roman"/>
          <w:sz w:val="21"/>
          <w:szCs w:val="21"/>
          <w:color w:val="auto"/>
        </w:rPr>
        <w:t>Revenue between $2.428 to $2.438 billion vs. prior guidance of $2.385 to $2.415 billion Non-GAAP diluted EPS between $5.28 to $5.38 vs. prior guidance of $4.45 to $4.65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-295275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-140970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Earnings Conference Call</w:t>
      </w:r>
    </w:p>
    <w:p>
      <w:pPr>
        <w:spacing w:after="0" w:line="1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Itron will host a conference call to discuss the financial results contained in this release at 10 a.m. EDT on October 31, 2024. Interested parties may listen to the conference call on a live webcast. The webcast, along with a supplemental presentation, may be accessed from the company’s website at</w:t>
      </w:r>
    </w:p>
    <w:p>
      <w:pPr>
        <w:spacing w:after="0" w:line="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https://investors.itron.com/events-presentations</w:t>
      </w:r>
      <w:r>
        <w:rPr>
          <w:rFonts w:ascii="Times New Roman" w:cs="Times New Roman" w:eastAsia="Times New Roman" w:hAnsi="Times New Roman"/>
          <w:sz w:val="22"/>
          <w:szCs w:val="22"/>
          <w:color w:val="auto"/>
        </w:rPr>
        <w:t xml:space="preserve">. Participants should access the webcast 10 minutes prior to the start of the call. A webcast replay of the conference call will be available through November 8, 2024 and may be accessed on the company's website at </w:t>
      </w:r>
      <w:r>
        <w:rPr>
          <w:rFonts w:ascii="Times New Roman" w:cs="Times New Roman" w:eastAsia="Times New Roman" w:hAnsi="Times New Roman"/>
          <w:sz w:val="22"/>
          <w:szCs w:val="22"/>
          <w:u w:val="single" w:color="auto"/>
          <w:color w:val="auto"/>
        </w:rPr>
        <w:t>https://investors.itron.com/events-presentations</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Itron</w:t>
      </w:r>
    </w:p>
    <w:p>
      <w:pPr>
        <w:spacing w:after="0" w:line="18"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22"/>
          <w:szCs w:val="22"/>
          <w:color w:val="auto"/>
        </w:rPr>
        <w:t>Itron is a proven global leader in energy, water, smart city, IIoT and intelligent infrastructure services. For utilities, cities and society, we build innovative systems, create new efficiencies, connect communities, encourage conservation and increase resourcefulness. By safeguarding our invaluable natural resources today and tomorrow, we improve the quality of life for people around the world. Join us: www.itron.com</w:t>
      </w:r>
    </w:p>
    <w:p>
      <w:pPr>
        <w:spacing w:after="0" w:line="187" w:lineRule="exact"/>
        <w:rPr>
          <w:sz w:val="20"/>
          <w:szCs w:val="20"/>
          <w:color w:val="auto"/>
        </w:rPr>
      </w:pPr>
    </w:p>
    <w:p>
      <w:pPr>
        <w:ind w:right="360"/>
        <w:spacing w:after="0" w:line="208" w:lineRule="auto"/>
        <w:rPr>
          <w:sz w:val="20"/>
          <w:szCs w:val="20"/>
          <w:color w:val="auto"/>
        </w:rPr>
      </w:pPr>
      <w:r>
        <w:rPr>
          <w:rFonts w:ascii="Times New Roman" w:cs="Times New Roman" w:eastAsia="Times New Roman" w:hAnsi="Times New Roman"/>
          <w:sz w:val="22"/>
          <w:szCs w:val="22"/>
          <w:color w:val="auto"/>
        </w:rPr>
        <w:t>Itron</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is a registered trademark of Itron, Inc. All third-party trademarks are property of their respective owners and any usage herein does not suggest or imply any relationship between Itron and the third party unless expressly stated.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 Looking Statements</w:t>
      </w:r>
    </w:p>
    <w:p>
      <w:pPr>
        <w:spacing w:after="0" w:line="1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This release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release.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and other factors that are more fully described in Part I, Item 1A: Risk Factors included in our Annual Report on Form 10-K for the year ended Dec. 31, 2023 and other reports on file with the Securities and Exchange Commission. Itron undertakes no obligation to update or revise any information in this press release.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Information</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free cash flow, and constant currency. We provide these non-GAAP financial measures because we believe they provide greater</w:t>
      </w:r>
    </w:p>
    <w:p>
      <w:pPr>
        <w:sectPr>
          <w:pgSz w:w="11900" w:h="16838" w:orient="portrait"/>
          <w:cols w:equalWidth="0" w:num="1">
            <w:col w:w="11240"/>
          </w:cols>
          <w:pgMar w:left="320" w:top="112" w:right="339" w:bottom="0" w:gutter="0" w:footer="0" w:header="0"/>
        </w:sectPr>
      </w:pPr>
    </w:p>
    <w:bookmarkStart w:id="5" w:name="page6"/>
    <w:bookmarkEnd w:id="5"/>
    <w:p>
      <w:pPr>
        <w:spacing w:after="0" w:line="3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 When providing future outlooks and/or earnings guidance, a reconciliation of forward-looking non-GAAP diluted EPS to the GAAP diluted EPS has not been provided because we are unable to predict with reasonable certainty the potential amount or timing of restructuring related expenses and their related tax effects without unreasonable effort. These costs are uncertain, depend on various factors and could have a material impact on GAAP results for the guidance period. A more detailed discussion of why we use non-GAAP financial measures, the limitations of using such measures, and reconciliations between non-GAAP and the nearest GAAP financial measures are included in this press release.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additional information, contact: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Paul Vincent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Investor Relations</w:t>
      </w:r>
    </w:p>
    <w:p>
      <w:pPr>
        <w:spacing w:after="0"/>
        <w:rPr>
          <w:sz w:val="20"/>
          <w:szCs w:val="20"/>
          <w:color w:val="auto"/>
        </w:rPr>
      </w:pPr>
      <w:r>
        <w:rPr>
          <w:rFonts w:ascii="Times New Roman" w:cs="Times New Roman" w:eastAsia="Times New Roman" w:hAnsi="Times New Roman"/>
          <w:sz w:val="22"/>
          <w:szCs w:val="22"/>
          <w:color w:val="auto"/>
        </w:rPr>
        <w:t>(512) 560-1172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David Means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Director, Investor Relations</w:t>
      </w:r>
    </w:p>
    <w:p>
      <w:pPr>
        <w:jc w:val="center"/>
        <w:ind w:right="940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242-8448 </w:t>
      </w:r>
      <w:r>
        <w:rPr>
          <w:rFonts w:ascii="Times New Roman" w:cs="Times New Roman" w:eastAsia="Times New Roman" w:hAnsi="Times New Roman"/>
          <w:sz w:val="21"/>
          <w:szCs w:val="21"/>
          <w:u w:val="single" w:color="auto"/>
          <w:color w:val="auto"/>
        </w:rPr>
        <w:t>Investors@itron.com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LinkedIn: https://www.linkedin.com/company/itroninc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X: https://twitter.com/ItronInc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Newsroom: https://itron.com/newsroom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Blog: https://itron.com/blog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(Unaudited, in thousands, except per share data)</w:t>
      </w:r>
    </w:p>
    <w:p>
      <w:pPr>
        <w:sectPr>
          <w:pgSz w:w="11900" w:h="16877" w:orient="portrait"/>
          <w:cols w:equalWidth="0" w:num="1">
            <w:col w:w="11240"/>
          </w:cols>
          <w:pgMar w:left="320" w:top="111" w:right="339" w:bottom="0" w:gutter="0" w:footer="0" w:header="0"/>
        </w:sectPr>
      </w:pPr>
    </w:p>
    <w:p>
      <w:pPr>
        <w:spacing w:after="0" w:line="2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1"/>
          <w:szCs w:val="21"/>
          <w:b w:val="1"/>
          <w:bCs w:val="1"/>
          <w:color w:val="auto"/>
        </w:rPr>
        <w:t>Three Months Ended</w:t>
      </w:r>
    </w:p>
    <w:p>
      <w:pPr>
        <w:spacing w:after="0" w:line="1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2"/>
          <w:szCs w:val="22"/>
          <w:b w:val="1"/>
          <w:bCs w:val="1"/>
          <w:color w:val="auto"/>
        </w:rPr>
        <w:t>September 30,</w:t>
      </w:r>
    </w:p>
    <w:p>
      <w:pPr>
        <w:spacing w:after="0" w:line="5" w:lineRule="exact"/>
        <w:rPr>
          <w:sz w:val="20"/>
          <w:szCs w:val="20"/>
          <w:color w:val="auto"/>
        </w:rPr>
      </w:pPr>
    </w:p>
    <w:p>
      <w:pPr>
        <w:ind w:left="5820"/>
        <w:spacing w:after="0"/>
        <w:tabs>
          <w:tab w:leader="none" w:pos="7260" w:val="left"/>
        </w:tabs>
        <w:rPr>
          <w:sz w:val="20"/>
          <w:szCs w:val="20"/>
          <w:color w:val="auto"/>
        </w:rPr>
      </w:pPr>
      <w:r>
        <w:rPr>
          <w:rFonts w:ascii="Times New Roman" w:cs="Times New Roman" w:eastAsia="Times New Roman" w:hAnsi="Times New Roman"/>
          <w:sz w:val="22"/>
          <w:szCs w:val="22"/>
          <w:b w:val="1"/>
          <w:bCs w:val="1"/>
          <w:color w:val="auto"/>
        </w:rPr>
        <w:t>2024</w:t>
      </w:r>
      <w:r>
        <w:rPr>
          <w:sz w:val="20"/>
          <w:szCs w:val="20"/>
          <w:color w:val="auto"/>
        </w:rPr>
        <w:tab/>
      </w:r>
      <w:r>
        <w:rPr>
          <w:rFonts w:ascii="Times New Roman" w:cs="Times New Roman" w:eastAsia="Times New Roman" w:hAnsi="Times New Roman"/>
          <w:sz w:val="22"/>
          <w:szCs w:val="22"/>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-158750</wp:posOffset>
            </wp:positionV>
            <wp:extent cx="18516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Nine Months Ended</w:t>
      </w:r>
    </w:p>
    <w:p>
      <w:pPr>
        <w:spacing w:after="0" w:line="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b w:val="1"/>
          <w:bCs w:val="1"/>
          <w:color w:val="auto"/>
        </w:rPr>
        <w:t>September 30,</w:t>
      </w:r>
    </w:p>
    <w:p>
      <w:pPr>
        <w:spacing w:after="0" w:line="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b w:val="1"/>
          <w:bCs w:val="1"/>
          <w:color w:val="auto"/>
        </w:rPr>
        <w:t>2024</w:t>
      </w:r>
      <w:r>
        <w:rPr>
          <w:sz w:val="20"/>
          <w:szCs w:val="20"/>
          <w:color w:val="auto"/>
        </w:rPr>
        <w:tab/>
      </w:r>
      <w:r>
        <w:rPr>
          <w:rFonts w:ascii="Times New Roman" w:cs="Times New Roman" w:eastAsia="Times New Roman" w:hAnsi="Times New Roman"/>
          <w:sz w:val="22"/>
          <w:szCs w:val="22"/>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-158750</wp:posOffset>
            </wp:positionV>
            <wp:extent cx="18516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1" w:lineRule="exact"/>
        <w:rPr>
          <w:sz w:val="20"/>
          <w:szCs w:val="20"/>
          <w:color w:val="auto"/>
        </w:rPr>
      </w:pPr>
    </w:p>
    <w:p>
      <w:pPr>
        <w:sectPr>
          <w:pgSz w:w="11900" w:h="16877" w:orient="portrait"/>
          <w:cols w:equalWidth="0" w:num="2">
            <w:col w:w="8120" w:space="720"/>
            <w:col w:w="2400"/>
          </w:cols>
          <w:pgMar w:left="320" w:top="111" w:right="339" w:bottom="0" w:gutter="0" w:footer="0" w:header="0"/>
          <w:type w:val="continuous"/>
        </w:sectPr>
      </w:pPr>
    </w:p>
    <w:tbl>
      <w:tblPr>
        <w:tblLayout w:type="fixed"/>
        <w:tblInd w:w="20" w:type="dxa"/>
        <w:tblCellMar>
          <w:top w:w="0" w:type="dxa"/>
          <w:left w:w="0" w:type="dxa"/>
          <w:bottom w:w="0" w:type="dxa"/>
          <w:right w:w="0" w:type="dxa"/>
        </w:tblCellMar>
      </w:tblPr>
      <w:tr>
        <w:trPr>
          <w:trHeight w:val="251"/>
        </w:trPr>
        <w:tc>
          <w:tcPr>
            <w:tcW w:w="52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Revenues</w:t>
            </w:r>
          </w:p>
        </w:tc>
        <w:tc>
          <w:tcPr>
            <w:tcW w:w="3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Product revenues</w:t>
            </w: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538,249</w:t>
            </w:r>
          </w:p>
        </w:tc>
        <w:tc>
          <w:tcPr>
            <w:tcW w:w="4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480,355</w:t>
            </w:r>
          </w:p>
        </w:tc>
        <w:tc>
          <w:tcPr>
            <w:tcW w:w="100" w:type="dxa"/>
            <w:vAlign w:val="bottom"/>
          </w:tcPr>
          <w:p>
            <w:pPr>
              <w:spacing w:after="0"/>
              <w:rPr>
                <w:sz w:val="23"/>
                <w:szCs w:val="23"/>
                <w:color w:val="auto"/>
              </w:rPr>
            </w:pP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1,598,978</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1,361,482</w:t>
            </w:r>
          </w:p>
        </w:tc>
      </w:tr>
      <w:tr>
        <w:trPr>
          <w:trHeight w:val="282"/>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Service revenues</w:t>
            </w: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77,213</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80,417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228,995</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234,978</w:t>
            </w:r>
          </w:p>
        </w:tc>
      </w:tr>
      <w:tr>
        <w:trPr>
          <w:trHeight w:val="251"/>
        </w:trPr>
        <w:tc>
          <w:tcPr>
            <w:tcW w:w="5280" w:type="dxa"/>
            <w:vAlign w:val="bottom"/>
          </w:tcPr>
          <w:p>
            <w:pPr>
              <w:ind w:left="240"/>
              <w:spacing w:after="0" w:line="251" w:lineRule="exact"/>
              <w:rPr>
                <w:sz w:val="20"/>
                <w:szCs w:val="20"/>
                <w:color w:val="auto"/>
              </w:rPr>
            </w:pPr>
            <w:r>
              <w:rPr>
                <w:rFonts w:ascii="Times New Roman" w:cs="Times New Roman" w:eastAsia="Times New Roman" w:hAnsi="Times New Roman"/>
                <w:sz w:val="22"/>
                <w:szCs w:val="22"/>
                <w:color w:val="auto"/>
              </w:rPr>
              <w:t>Total revenues</w:t>
            </w:r>
          </w:p>
        </w:tc>
        <w:tc>
          <w:tcPr>
            <w:tcW w:w="380" w:type="dxa"/>
            <w:vAlign w:val="bottom"/>
          </w:tcPr>
          <w:p>
            <w:pPr>
              <w:spacing w:after="0"/>
              <w:rPr>
                <w:sz w:val="21"/>
                <w:szCs w:val="21"/>
                <w:color w:val="auto"/>
              </w:rPr>
            </w:pPr>
          </w:p>
        </w:tc>
        <w:tc>
          <w:tcPr>
            <w:tcW w:w="10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615,462</w:t>
            </w:r>
          </w:p>
        </w:tc>
        <w:tc>
          <w:tcPr>
            <w:tcW w:w="400" w:type="dxa"/>
            <w:vAlign w:val="bottom"/>
          </w:tcPr>
          <w:p>
            <w:pPr>
              <w:spacing w:after="0"/>
              <w:rPr>
                <w:sz w:val="21"/>
                <w:szCs w:val="21"/>
                <w:color w:val="auto"/>
              </w:rPr>
            </w:pPr>
          </w:p>
        </w:tc>
        <w:tc>
          <w:tcPr>
            <w:tcW w:w="108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560,772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1,827,973</w:t>
            </w:r>
          </w:p>
        </w:tc>
        <w:tc>
          <w:tcPr>
            <w:tcW w:w="300" w:type="dxa"/>
            <w:vAlign w:val="bottom"/>
          </w:tcPr>
          <w:p>
            <w:pPr>
              <w:spacing w:after="0"/>
              <w:rPr>
                <w:sz w:val="21"/>
                <w:szCs w:val="21"/>
                <w:color w:val="auto"/>
              </w:rPr>
            </w:pPr>
          </w:p>
        </w:tc>
        <w:tc>
          <w:tcPr>
            <w:tcW w:w="11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1,596,460</w:t>
            </w:r>
          </w:p>
        </w:tc>
      </w:t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Cost of revenues</w:t>
            </w:r>
          </w:p>
        </w:tc>
        <w:tc>
          <w:tcPr>
            <w:tcW w:w="3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Product cost of revenues</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362,579</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332,035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1,076,033</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951,666</w:t>
            </w:r>
          </w:p>
        </w:tc>
      </w:tr>
      <w:tr>
        <w:trPr>
          <w:trHeight w:val="282"/>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Service cost of revenues</w:t>
            </w: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43,285</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41,534</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126,503</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127,276</w:t>
            </w:r>
          </w:p>
        </w:tc>
      </w:tr>
      <w:tr>
        <w:trPr>
          <w:trHeight w:val="265"/>
        </w:trPr>
        <w:tc>
          <w:tcPr>
            <w:tcW w:w="52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 cost of revenues</w:t>
            </w:r>
          </w:p>
        </w:tc>
        <w:tc>
          <w:tcPr>
            <w:tcW w:w="3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405,864</w:t>
            </w: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373,569</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1,202,536</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1,078,942</w:t>
            </w:r>
          </w:p>
        </w:tc>
      </w:tr>
      <w:tr>
        <w:trPr>
          <w:trHeight w:val="276"/>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Gross profit</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209,598</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187,203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625,437</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517,518</w:t>
            </w:r>
          </w:p>
        </w:tc>
      </w:tr>
      <w:tr>
        <w:trPr>
          <w:trHeight w:val="514"/>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Operating expenses</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Sales, general and administrative</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79,639</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76,576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254,023</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231,176</w:t>
            </w: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Research and development</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51,237</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51,644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156,691</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154,769</w:t>
            </w: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Amortization of intangible assets</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4,814</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4,663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13,311</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14,433</w:t>
            </w: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Restructuring</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(723)</w:t>
            </w: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(624)</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36,868</w:t>
            </w:r>
          </w:p>
        </w:tc>
      </w:tr>
      <w:tr>
        <w:trPr>
          <w:trHeight w:val="282"/>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Loss on sale of business</w:t>
            </w: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698</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656</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675</w:t>
            </w:r>
          </w:p>
        </w:tc>
      </w:tr>
      <w:tr>
        <w:trPr>
          <w:trHeight w:val="265"/>
        </w:trPr>
        <w:tc>
          <w:tcPr>
            <w:tcW w:w="52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 operating expenses</w:t>
            </w:r>
          </w:p>
        </w:tc>
        <w:tc>
          <w:tcPr>
            <w:tcW w:w="3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135,665</w:t>
            </w: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132,313</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424,057</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437,921</w:t>
            </w:r>
          </w:p>
        </w:tc>
      </w:tr>
      <w:tr>
        <w:trPr>
          <w:trHeight w:val="520"/>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Operating income</w:t>
            </w: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73,933</w:t>
            </w:r>
          </w:p>
        </w:tc>
        <w:tc>
          <w:tcPr>
            <w:tcW w:w="40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54,890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201,380</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79,597</w:t>
            </w:r>
          </w:p>
        </w:tc>
      </w:t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Other income (expense)</w:t>
            </w:r>
          </w:p>
        </w:tc>
        <w:tc>
          <w:tcPr>
            <w:tcW w:w="3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Interest income</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13,420</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2,642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22,394</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5,968</w:t>
            </w: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Interest expense</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(5,605)</w:t>
            </w: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(2,445)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(9,788)</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(6,479)</w:t>
            </w:r>
          </w:p>
        </w:tc>
      </w:tr>
      <w:tr>
        <w:trPr>
          <w:trHeight w:val="282"/>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income (expense), net</w:t>
            </w: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677</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646</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695</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(1,162)</w:t>
            </w:r>
          </w:p>
        </w:tc>
      </w:tr>
      <w:tr>
        <w:trPr>
          <w:trHeight w:val="265"/>
        </w:trPr>
        <w:tc>
          <w:tcPr>
            <w:tcW w:w="52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 other income (expense)</w:t>
            </w:r>
          </w:p>
        </w:tc>
        <w:tc>
          <w:tcPr>
            <w:tcW w:w="3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8,492</w:t>
            </w: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843</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13,301</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(1,673)</w:t>
            </w:r>
          </w:p>
        </w:tc>
      </w:tr>
    </w:tbl>
    <w:p>
      <w:pPr>
        <w:sectPr>
          <w:pgSz w:w="11900" w:h="16877" w:orient="portrait"/>
          <w:cols w:equalWidth="0" w:num="1">
            <w:col w:w="11240"/>
          </w:cols>
          <w:pgMar w:left="320" w:top="111" w:right="339"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Income before income taxes</w:t>
            </w: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82,425</w:t>
            </w:r>
          </w:p>
        </w:tc>
        <w:tc>
          <w:tcPr>
            <w:tcW w:w="42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55,733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214,681</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77,924</w:t>
            </w:r>
          </w:p>
        </w:tc>
      </w:tr>
      <w:tr>
        <w:trPr>
          <w:trHeight w:val="282"/>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Income tax provision</w:t>
            </w: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(3,515)</w:t>
            </w: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(15,388)</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(32,124)</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(24,513)</w:t>
            </w:r>
          </w:p>
        </w:tc>
      </w:tr>
      <w:tr>
        <w:trPr>
          <w:trHeight w:val="251"/>
        </w:trPr>
        <w:tc>
          <w:tcPr>
            <w:tcW w:w="52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Net income</w:t>
            </w:r>
          </w:p>
        </w:tc>
        <w:tc>
          <w:tcPr>
            <w:tcW w:w="440" w:type="dxa"/>
            <w:vAlign w:val="bottom"/>
          </w:tcPr>
          <w:p>
            <w:pPr>
              <w:spacing w:after="0"/>
              <w:rPr>
                <w:sz w:val="21"/>
                <w:szCs w:val="21"/>
                <w:color w:val="auto"/>
              </w:rPr>
            </w:pPr>
          </w:p>
        </w:tc>
        <w:tc>
          <w:tcPr>
            <w:tcW w:w="10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78,910</w:t>
            </w:r>
          </w:p>
        </w:tc>
        <w:tc>
          <w:tcPr>
            <w:tcW w:w="420" w:type="dxa"/>
            <w:vAlign w:val="bottom"/>
          </w:tcPr>
          <w:p>
            <w:pPr>
              <w:spacing w:after="0"/>
              <w:rPr>
                <w:sz w:val="21"/>
                <w:szCs w:val="21"/>
                <w:color w:val="auto"/>
              </w:rPr>
            </w:pPr>
          </w:p>
        </w:tc>
        <w:tc>
          <w:tcPr>
            <w:tcW w:w="106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40,345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182,557</w:t>
            </w:r>
          </w:p>
        </w:tc>
        <w:tc>
          <w:tcPr>
            <w:tcW w:w="400" w:type="dxa"/>
            <w:vAlign w:val="bottom"/>
          </w:tcPr>
          <w:p>
            <w:pPr>
              <w:spacing w:after="0"/>
              <w:rPr>
                <w:sz w:val="21"/>
                <w:szCs w:val="21"/>
                <w:color w:val="auto"/>
              </w:rPr>
            </w:pPr>
          </w:p>
        </w:tc>
        <w:tc>
          <w:tcPr>
            <w:tcW w:w="10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53,411</w:t>
            </w:r>
          </w:p>
        </w:tc>
      </w:tr>
      <w:tr>
        <w:trPr>
          <w:trHeight w:val="283"/>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Net income attributable to noncontrolling interests</w:t>
            </w: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951</w:t>
            </w: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173</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1,559</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874</w:t>
            </w:r>
          </w:p>
        </w:tc>
      </w:tr>
      <w:tr>
        <w:trPr>
          <w:trHeight w:val="264"/>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Net income attributable to Itron, Inc.</w:t>
            </w:r>
          </w:p>
        </w:tc>
        <w:tc>
          <w:tcPr>
            <w:tcW w:w="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77,959</w:t>
            </w:r>
          </w:p>
        </w:tc>
        <w:tc>
          <w:tcPr>
            <w:tcW w:w="4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40,172</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180,998</w:t>
            </w:r>
          </w:p>
        </w:tc>
        <w:tc>
          <w:tcPr>
            <w:tcW w:w="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52,537</w:t>
            </w:r>
          </w:p>
        </w:tc>
      </w:tr>
      <w:tr>
        <w:trPr>
          <w:trHeight w:val="20"/>
        </w:trPr>
        <w:tc>
          <w:tcPr>
            <w:tcW w:w="5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33"/>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Net income per common share - Basic</w:t>
            </w:r>
          </w:p>
        </w:tc>
        <w:tc>
          <w:tcPr>
            <w:tcW w:w="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1.73</w:t>
            </w:r>
          </w:p>
        </w:tc>
        <w:tc>
          <w:tcPr>
            <w:tcW w:w="4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0.88</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3.98</w:t>
            </w:r>
          </w:p>
        </w:tc>
        <w:tc>
          <w:tcPr>
            <w:tcW w:w="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1.16</w:t>
            </w:r>
          </w:p>
        </w:tc>
      </w:tr>
      <w:tr>
        <w:trPr>
          <w:trHeight w:val="21"/>
        </w:trPr>
        <w:tc>
          <w:tcPr>
            <w:tcW w:w="5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63"/>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Net income per common share - Diluted</w:t>
            </w:r>
          </w:p>
        </w:tc>
        <w:tc>
          <w:tcPr>
            <w:tcW w:w="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1.70</w:t>
            </w:r>
          </w:p>
        </w:tc>
        <w:tc>
          <w:tcPr>
            <w:tcW w:w="4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0.87</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3.91</w:t>
            </w:r>
          </w:p>
        </w:tc>
        <w:tc>
          <w:tcPr>
            <w:tcW w:w="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1.15</w:t>
            </w:r>
          </w:p>
        </w:tc>
      </w:tr>
      <w:tr>
        <w:trPr>
          <w:trHeight w:val="21"/>
        </w:trPr>
        <w:tc>
          <w:tcPr>
            <w:tcW w:w="5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20"/>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common shares outstanding - Basic</w:t>
            </w: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44,982</w:t>
            </w:r>
          </w:p>
        </w:tc>
        <w:tc>
          <w:tcPr>
            <w:tcW w:w="42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45,462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45,458</w:t>
            </w:r>
          </w:p>
        </w:tc>
        <w:tc>
          <w:tcPr>
            <w:tcW w:w="4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45,393</w:t>
            </w:r>
          </w:p>
        </w:tc>
      </w:tr>
      <w:tr>
        <w:trPr>
          <w:trHeight w:val="282"/>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common shares outstanding - Diluted</w:t>
            </w: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45,839</w:t>
            </w:r>
          </w:p>
        </w:tc>
        <w:tc>
          <w:tcPr>
            <w:tcW w:w="42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45,950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46,239</w:t>
            </w:r>
          </w:p>
        </w:tc>
        <w:tc>
          <w:tcPr>
            <w:tcW w:w="4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45,768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SEGMENT INFORMATION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980" w:type="dxa"/>
            <w:vAlign w:val="bottom"/>
          </w:tcPr>
          <w:p>
            <w:pPr>
              <w:spacing w:after="0"/>
              <w:rPr>
                <w:sz w:val="20"/>
                <w:szCs w:val="20"/>
                <w:color w:val="auto"/>
              </w:rPr>
            </w:pPr>
            <w:r>
              <w:rPr>
                <w:rFonts w:ascii="Times New Roman" w:cs="Times New Roman" w:eastAsia="Times New Roman" w:hAnsi="Times New Roman"/>
                <w:sz w:val="22"/>
                <w:szCs w:val="22"/>
                <w:color w:val="auto"/>
              </w:rPr>
              <w:t>(Unaudited, in thousands)</w:t>
            </w:r>
          </w:p>
        </w:tc>
        <w:tc>
          <w:tcPr>
            <w:tcW w:w="320" w:type="dxa"/>
            <w:vAlign w:val="bottom"/>
          </w:tcPr>
          <w:p>
            <w:pPr>
              <w:spacing w:after="0"/>
              <w:rPr>
                <w:sz w:val="24"/>
                <w:szCs w:val="24"/>
                <w:color w:val="auto"/>
              </w:rPr>
            </w:pPr>
          </w:p>
        </w:tc>
        <w:tc>
          <w:tcPr>
            <w:tcW w:w="2840" w:type="dxa"/>
            <w:vAlign w:val="bottom"/>
            <w:gridSpan w:val="4"/>
            <w:vMerge w:val="restart"/>
          </w:tcPr>
          <w:p>
            <w:pPr>
              <w:jc w:val="center"/>
              <w:ind w:right="480"/>
              <w:spacing w:after="0"/>
              <w:rPr>
                <w:sz w:val="20"/>
                <w:szCs w:val="20"/>
                <w:color w:val="auto"/>
              </w:rPr>
            </w:pPr>
            <w:r>
              <w:rPr>
                <w:rFonts w:ascii="Times New Roman" w:cs="Times New Roman" w:eastAsia="Times New Roman" w:hAnsi="Times New Roman"/>
                <w:sz w:val="22"/>
                <w:szCs w:val="22"/>
                <w:b w:val="1"/>
                <w:bCs w:val="1"/>
                <w:color w:val="auto"/>
                <w:w w:val="97"/>
              </w:rPr>
              <w:t>Three Months Ended</w:t>
            </w:r>
          </w:p>
        </w:tc>
        <w:tc>
          <w:tcPr>
            <w:tcW w:w="300" w:type="dxa"/>
            <w:vAlign w:val="bottom"/>
          </w:tcPr>
          <w:p>
            <w:pPr>
              <w:spacing w:after="0"/>
              <w:rPr>
                <w:sz w:val="24"/>
                <w:szCs w:val="24"/>
                <w:color w:val="auto"/>
              </w:rPr>
            </w:pPr>
          </w:p>
        </w:tc>
        <w:tc>
          <w:tcPr>
            <w:tcW w:w="2780" w:type="dxa"/>
            <w:vAlign w:val="bottom"/>
            <w:gridSpan w:val="3"/>
            <w:vMerge w:val="restart"/>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Nine Months Ended</w:t>
            </w:r>
          </w:p>
        </w:tc>
        <w:tc>
          <w:tcPr>
            <w:tcW w:w="0" w:type="dxa"/>
            <w:vAlign w:val="bottom"/>
          </w:tcPr>
          <w:p>
            <w:pPr>
              <w:spacing w:after="0"/>
              <w:rPr>
                <w:sz w:val="1"/>
                <w:szCs w:val="1"/>
                <w:color w:val="auto"/>
              </w:rPr>
            </w:pPr>
          </w:p>
        </w:tc>
      </w:tr>
      <w:tr>
        <w:trPr>
          <w:trHeight w:val="227"/>
        </w:trPr>
        <w:tc>
          <w:tcPr>
            <w:tcW w:w="4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40" w:type="dxa"/>
            <w:vAlign w:val="bottom"/>
            <w:gridSpan w:val="4"/>
            <w:vMerge w:val="continue"/>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4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4"/>
          </w:tcPr>
          <w:p>
            <w:pPr>
              <w:jc w:val="center"/>
              <w:ind w:right="440"/>
              <w:spacing w:after="0"/>
              <w:rPr>
                <w:sz w:val="20"/>
                <w:szCs w:val="20"/>
                <w:color w:val="auto"/>
              </w:rPr>
            </w:pPr>
            <w:r>
              <w:rPr>
                <w:rFonts w:ascii="Times New Roman" w:cs="Times New Roman" w:eastAsia="Times New Roman" w:hAnsi="Times New Roman"/>
                <w:sz w:val="22"/>
                <w:szCs w:val="22"/>
                <w:b w:val="1"/>
                <w:bCs w:val="1"/>
                <w:color w:val="auto"/>
                <w:w w:val="98"/>
              </w:rPr>
              <w:t>September 30,</w:t>
            </w:r>
          </w:p>
        </w:tc>
        <w:tc>
          <w:tcPr>
            <w:tcW w:w="300" w:type="dxa"/>
            <w:vAlign w:val="bottom"/>
          </w:tcPr>
          <w:p>
            <w:pPr>
              <w:spacing w:after="0"/>
              <w:rPr>
                <w:sz w:val="24"/>
                <w:szCs w:val="24"/>
                <w:color w:val="auto"/>
              </w:rPr>
            </w:pPr>
          </w:p>
        </w:tc>
        <w:tc>
          <w:tcPr>
            <w:tcW w:w="2780" w:type="dxa"/>
            <w:vAlign w:val="bottom"/>
            <w:gridSpan w:val="3"/>
          </w:tcPr>
          <w:p>
            <w:pPr>
              <w:jc w:val="right"/>
              <w:ind w:right="772"/>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0" w:type="dxa"/>
            <w:vAlign w:val="bottom"/>
          </w:tcPr>
          <w:p>
            <w:pPr>
              <w:spacing w:after="0"/>
              <w:rPr>
                <w:sz w:val="1"/>
                <w:szCs w:val="1"/>
                <w:color w:val="auto"/>
              </w:rPr>
            </w:pPr>
          </w:p>
        </w:tc>
      </w:tr>
      <w:tr>
        <w:trPr>
          <w:trHeight w:val="264"/>
        </w:trPr>
        <w:tc>
          <w:tcPr>
            <w:tcW w:w="49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Product revenues</w:t>
            </w:r>
          </w:p>
        </w:tc>
        <w:tc>
          <w:tcPr>
            <w:tcW w:w="3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b w:val="1"/>
                <w:bCs w:val="1"/>
                <w:color w:val="auto"/>
              </w:rPr>
              <w:t>2023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b w:val="1"/>
                <w:bCs w:val="1"/>
                <w:color w:val="auto"/>
              </w:rPr>
              <w:t>2023</w:t>
            </w:r>
          </w:p>
        </w:tc>
        <w:tc>
          <w:tcPr>
            <w:tcW w:w="0" w:type="dxa"/>
            <w:vAlign w:val="bottom"/>
          </w:tcPr>
          <w:p>
            <w:pPr>
              <w:spacing w:after="0"/>
              <w:rPr>
                <w:sz w:val="1"/>
                <w:szCs w:val="1"/>
                <w:color w:val="auto"/>
              </w:rPr>
            </w:pPr>
          </w:p>
        </w:tc>
      </w:tr>
      <w:tr>
        <w:trPr>
          <w:trHeight w:val="250"/>
        </w:trPr>
        <w:tc>
          <w:tcPr>
            <w:tcW w:w="49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Device Solutions</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122,119</w:t>
            </w:r>
          </w:p>
        </w:tc>
        <w:tc>
          <w:tcPr>
            <w:tcW w:w="3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110,138</w:t>
            </w:r>
          </w:p>
        </w:tc>
        <w:tc>
          <w:tcPr>
            <w:tcW w:w="100" w:type="dxa"/>
            <w:vAlign w:val="bottom"/>
          </w:tcPr>
          <w:p>
            <w:pPr>
              <w:spacing w:after="0"/>
              <w:rPr>
                <w:sz w:val="23"/>
                <w:szCs w:val="23"/>
                <w:color w:val="auto"/>
              </w:rPr>
            </w:pP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365,956</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340,098</w:t>
            </w:r>
          </w:p>
        </w:tc>
        <w:tc>
          <w:tcPr>
            <w:tcW w:w="0" w:type="dxa"/>
            <w:vAlign w:val="bottom"/>
          </w:tcPr>
          <w:p>
            <w:pPr>
              <w:spacing w:after="0"/>
              <w:rPr>
                <w:sz w:val="1"/>
                <w:szCs w:val="1"/>
                <w:color w:val="auto"/>
              </w:rPr>
            </w:pPr>
          </w:p>
        </w:tc>
      </w:tr>
      <w:tr>
        <w:trPr>
          <w:trHeight w:val="270"/>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Networked Solutions</w:t>
            </w:r>
          </w:p>
        </w:tc>
        <w:tc>
          <w:tcPr>
            <w:tcW w:w="320" w:type="dxa"/>
            <w:vAlign w:val="bottom"/>
          </w:tcPr>
          <w:p>
            <w:pPr>
              <w:spacing w:after="0"/>
              <w:rPr>
                <w:sz w:val="23"/>
                <w:szCs w:val="23"/>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390,201</w:t>
            </w:r>
          </w:p>
        </w:tc>
        <w:tc>
          <w:tcPr>
            <w:tcW w:w="320" w:type="dxa"/>
            <w:vAlign w:val="bottom"/>
          </w:tcPr>
          <w:p>
            <w:pPr>
              <w:spacing w:after="0"/>
              <w:rPr>
                <w:sz w:val="23"/>
                <w:szCs w:val="23"/>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352,771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1,158,857</w:t>
            </w:r>
          </w:p>
        </w:tc>
        <w:tc>
          <w:tcPr>
            <w:tcW w:w="30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964,909</w:t>
            </w:r>
          </w:p>
        </w:tc>
        <w:tc>
          <w:tcPr>
            <w:tcW w:w="0" w:type="dxa"/>
            <w:vAlign w:val="bottom"/>
          </w:tcPr>
          <w:p>
            <w:pPr>
              <w:spacing w:after="0"/>
              <w:rPr>
                <w:sz w:val="1"/>
                <w:szCs w:val="1"/>
                <w:color w:val="auto"/>
              </w:rPr>
            </w:pPr>
          </w:p>
        </w:tc>
      </w:tr>
      <w:tr>
        <w:trPr>
          <w:trHeight w:val="283"/>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Outcomes</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25,929</w:t>
            </w: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17,446</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74,165</w:t>
            </w: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56,475</w:t>
            </w:r>
          </w:p>
        </w:tc>
        <w:tc>
          <w:tcPr>
            <w:tcW w:w="0" w:type="dxa"/>
            <w:vAlign w:val="bottom"/>
          </w:tcPr>
          <w:p>
            <w:pPr>
              <w:spacing w:after="0"/>
              <w:rPr>
                <w:sz w:val="1"/>
                <w:szCs w:val="1"/>
                <w:color w:val="auto"/>
              </w:rPr>
            </w:pPr>
          </w:p>
        </w:tc>
      </w:tr>
      <w:tr>
        <w:trPr>
          <w:trHeight w:val="264"/>
        </w:trPr>
        <w:tc>
          <w:tcPr>
            <w:tcW w:w="4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Total Company</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538,249</w:t>
            </w: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480,355</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1,598,978</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1,361,482</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Service revenues</w:t>
            </w: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Device Solutions</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619</w:t>
            </w:r>
          </w:p>
        </w:tc>
        <w:tc>
          <w:tcPr>
            <w:tcW w:w="3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631</w:t>
            </w:r>
          </w:p>
        </w:tc>
        <w:tc>
          <w:tcPr>
            <w:tcW w:w="100" w:type="dxa"/>
            <w:vAlign w:val="bottom"/>
          </w:tcPr>
          <w:p>
            <w:pPr>
              <w:spacing w:after="0"/>
              <w:rPr>
                <w:sz w:val="23"/>
                <w:szCs w:val="23"/>
                <w:color w:val="auto"/>
              </w:rPr>
            </w:pP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2,084</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2,085</w:t>
            </w:r>
          </w:p>
        </w:tc>
        <w:tc>
          <w:tcPr>
            <w:tcW w:w="0" w:type="dxa"/>
            <w:vAlign w:val="bottom"/>
          </w:tcPr>
          <w:p>
            <w:pPr>
              <w:spacing w:after="0"/>
              <w:rPr>
                <w:sz w:val="1"/>
                <w:szCs w:val="1"/>
                <w:color w:val="auto"/>
              </w:rPr>
            </w:pPr>
          </w:p>
        </w:tc>
      </w:tr>
      <w:tr>
        <w:trPr>
          <w:trHeight w:val="270"/>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Networked Solutions</w:t>
            </w:r>
          </w:p>
        </w:tc>
        <w:tc>
          <w:tcPr>
            <w:tcW w:w="320" w:type="dxa"/>
            <w:vAlign w:val="bottom"/>
          </w:tcPr>
          <w:p>
            <w:pPr>
              <w:spacing w:after="0"/>
              <w:rPr>
                <w:sz w:val="23"/>
                <w:szCs w:val="23"/>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26,512</w:t>
            </w:r>
          </w:p>
        </w:tc>
        <w:tc>
          <w:tcPr>
            <w:tcW w:w="320" w:type="dxa"/>
            <w:vAlign w:val="bottom"/>
          </w:tcPr>
          <w:p>
            <w:pPr>
              <w:spacing w:after="0"/>
              <w:rPr>
                <w:sz w:val="23"/>
                <w:szCs w:val="23"/>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32,200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78,076</w:t>
            </w:r>
          </w:p>
        </w:tc>
        <w:tc>
          <w:tcPr>
            <w:tcW w:w="30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94,460</w:t>
            </w:r>
          </w:p>
        </w:tc>
        <w:tc>
          <w:tcPr>
            <w:tcW w:w="0" w:type="dxa"/>
            <w:vAlign w:val="bottom"/>
          </w:tcPr>
          <w:p>
            <w:pPr>
              <w:spacing w:after="0"/>
              <w:rPr>
                <w:sz w:val="1"/>
                <w:szCs w:val="1"/>
                <w:color w:val="auto"/>
              </w:rPr>
            </w:pPr>
          </w:p>
        </w:tc>
      </w:tr>
      <w:tr>
        <w:trPr>
          <w:trHeight w:val="283"/>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Outcomes</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50,082</w:t>
            </w: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47,586</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148,835</w:t>
            </w: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138,433</w:t>
            </w:r>
          </w:p>
        </w:tc>
        <w:tc>
          <w:tcPr>
            <w:tcW w:w="0" w:type="dxa"/>
            <w:vAlign w:val="bottom"/>
          </w:tcPr>
          <w:p>
            <w:pPr>
              <w:spacing w:after="0"/>
              <w:rPr>
                <w:sz w:val="1"/>
                <w:szCs w:val="1"/>
                <w:color w:val="auto"/>
              </w:rPr>
            </w:pPr>
          </w:p>
        </w:tc>
      </w:tr>
      <w:tr>
        <w:trPr>
          <w:trHeight w:val="264"/>
        </w:trPr>
        <w:tc>
          <w:tcPr>
            <w:tcW w:w="4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Total Company</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77,213</w:t>
            </w: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80,417</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228,995</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234,978</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Total revenues</w:t>
            </w: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Device Solutions</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122,738</w:t>
            </w:r>
          </w:p>
        </w:tc>
        <w:tc>
          <w:tcPr>
            <w:tcW w:w="3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110,769</w:t>
            </w:r>
          </w:p>
        </w:tc>
        <w:tc>
          <w:tcPr>
            <w:tcW w:w="100" w:type="dxa"/>
            <w:vAlign w:val="bottom"/>
          </w:tcPr>
          <w:p>
            <w:pPr>
              <w:spacing w:after="0"/>
              <w:rPr>
                <w:sz w:val="23"/>
                <w:szCs w:val="23"/>
                <w:color w:val="auto"/>
              </w:rPr>
            </w:pP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368,040</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342,183</w:t>
            </w:r>
          </w:p>
        </w:tc>
        <w:tc>
          <w:tcPr>
            <w:tcW w:w="0" w:type="dxa"/>
            <w:vAlign w:val="bottom"/>
          </w:tcPr>
          <w:p>
            <w:pPr>
              <w:spacing w:after="0"/>
              <w:rPr>
                <w:sz w:val="1"/>
                <w:szCs w:val="1"/>
                <w:color w:val="auto"/>
              </w:rPr>
            </w:pPr>
          </w:p>
        </w:tc>
      </w:tr>
      <w:tr>
        <w:trPr>
          <w:trHeight w:val="270"/>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Networked Solutions</w:t>
            </w:r>
          </w:p>
        </w:tc>
        <w:tc>
          <w:tcPr>
            <w:tcW w:w="320" w:type="dxa"/>
            <w:vAlign w:val="bottom"/>
          </w:tcPr>
          <w:p>
            <w:pPr>
              <w:spacing w:after="0"/>
              <w:rPr>
                <w:sz w:val="23"/>
                <w:szCs w:val="23"/>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416,713</w:t>
            </w:r>
          </w:p>
        </w:tc>
        <w:tc>
          <w:tcPr>
            <w:tcW w:w="320" w:type="dxa"/>
            <w:vAlign w:val="bottom"/>
          </w:tcPr>
          <w:p>
            <w:pPr>
              <w:spacing w:after="0"/>
              <w:rPr>
                <w:sz w:val="23"/>
                <w:szCs w:val="23"/>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384,971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1,236,933</w:t>
            </w:r>
          </w:p>
        </w:tc>
        <w:tc>
          <w:tcPr>
            <w:tcW w:w="30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1,059,369</w:t>
            </w:r>
          </w:p>
        </w:tc>
        <w:tc>
          <w:tcPr>
            <w:tcW w:w="0" w:type="dxa"/>
            <w:vAlign w:val="bottom"/>
          </w:tcPr>
          <w:p>
            <w:pPr>
              <w:spacing w:after="0"/>
              <w:rPr>
                <w:sz w:val="1"/>
                <w:szCs w:val="1"/>
                <w:color w:val="auto"/>
              </w:rPr>
            </w:pPr>
          </w:p>
        </w:tc>
      </w:tr>
      <w:tr>
        <w:trPr>
          <w:trHeight w:val="283"/>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Outcomes</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76,011</w:t>
            </w: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65,032</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223,000</w:t>
            </w: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194,908</w:t>
            </w:r>
          </w:p>
        </w:tc>
        <w:tc>
          <w:tcPr>
            <w:tcW w:w="0" w:type="dxa"/>
            <w:vAlign w:val="bottom"/>
          </w:tcPr>
          <w:p>
            <w:pPr>
              <w:spacing w:after="0"/>
              <w:rPr>
                <w:sz w:val="1"/>
                <w:szCs w:val="1"/>
                <w:color w:val="auto"/>
              </w:rPr>
            </w:pPr>
          </w:p>
        </w:tc>
      </w:tr>
      <w:tr>
        <w:trPr>
          <w:trHeight w:val="264"/>
        </w:trPr>
        <w:tc>
          <w:tcPr>
            <w:tcW w:w="4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Total Company</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615,462</w:t>
            </w: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560,772</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1,827,973</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1,596,460</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Gross profit</w:t>
            </w: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Device Solutions</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33,342</w:t>
            </w:r>
          </w:p>
        </w:tc>
        <w:tc>
          <w:tcPr>
            <w:tcW w:w="3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26,919</w:t>
            </w:r>
          </w:p>
        </w:tc>
        <w:tc>
          <w:tcPr>
            <w:tcW w:w="100" w:type="dxa"/>
            <w:vAlign w:val="bottom"/>
          </w:tcPr>
          <w:p>
            <w:pPr>
              <w:spacing w:after="0"/>
              <w:rPr>
                <w:sz w:val="23"/>
                <w:szCs w:val="23"/>
                <w:color w:val="auto"/>
              </w:rPr>
            </w:pP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94,637</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75,351</w:t>
            </w:r>
          </w:p>
        </w:tc>
        <w:tc>
          <w:tcPr>
            <w:tcW w:w="0" w:type="dxa"/>
            <w:vAlign w:val="bottom"/>
          </w:tcPr>
          <w:p>
            <w:pPr>
              <w:spacing w:after="0"/>
              <w:rPr>
                <w:sz w:val="1"/>
                <w:szCs w:val="1"/>
                <w:color w:val="auto"/>
              </w:rPr>
            </w:pPr>
          </w:p>
        </w:tc>
      </w:tr>
      <w:tr>
        <w:trPr>
          <w:trHeight w:val="270"/>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Networked Solutions</w:t>
            </w:r>
          </w:p>
        </w:tc>
        <w:tc>
          <w:tcPr>
            <w:tcW w:w="320" w:type="dxa"/>
            <w:vAlign w:val="bottom"/>
          </w:tcPr>
          <w:p>
            <w:pPr>
              <w:spacing w:after="0"/>
              <w:rPr>
                <w:sz w:val="23"/>
                <w:szCs w:val="23"/>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149,648</w:t>
            </w:r>
          </w:p>
        </w:tc>
        <w:tc>
          <w:tcPr>
            <w:tcW w:w="320" w:type="dxa"/>
            <w:vAlign w:val="bottom"/>
          </w:tcPr>
          <w:p>
            <w:pPr>
              <w:spacing w:after="0"/>
              <w:rPr>
                <w:sz w:val="23"/>
                <w:szCs w:val="23"/>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135,203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452,830</w:t>
            </w:r>
          </w:p>
        </w:tc>
        <w:tc>
          <w:tcPr>
            <w:tcW w:w="30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362,852</w:t>
            </w:r>
          </w:p>
        </w:tc>
        <w:tc>
          <w:tcPr>
            <w:tcW w:w="0" w:type="dxa"/>
            <w:vAlign w:val="bottom"/>
          </w:tcPr>
          <w:p>
            <w:pPr>
              <w:spacing w:after="0"/>
              <w:rPr>
                <w:sz w:val="1"/>
                <w:szCs w:val="1"/>
                <w:color w:val="auto"/>
              </w:rPr>
            </w:pPr>
          </w:p>
        </w:tc>
      </w:tr>
      <w:tr>
        <w:trPr>
          <w:trHeight w:val="283"/>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Outcomes</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26,608</w:t>
            </w: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25,081</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77,970</w:t>
            </w: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79,315</w:t>
            </w:r>
          </w:p>
        </w:tc>
        <w:tc>
          <w:tcPr>
            <w:tcW w:w="0" w:type="dxa"/>
            <w:vAlign w:val="bottom"/>
          </w:tcPr>
          <w:p>
            <w:pPr>
              <w:spacing w:after="0"/>
              <w:rPr>
                <w:sz w:val="1"/>
                <w:szCs w:val="1"/>
                <w:color w:val="auto"/>
              </w:rPr>
            </w:pPr>
          </w:p>
        </w:tc>
      </w:tr>
      <w:tr>
        <w:trPr>
          <w:trHeight w:val="264"/>
        </w:trPr>
        <w:tc>
          <w:tcPr>
            <w:tcW w:w="4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Total Company</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209,598</w:t>
            </w: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187,203</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625,437</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517,518</w:t>
            </w:r>
          </w:p>
        </w:tc>
        <w:tc>
          <w:tcPr>
            <w:tcW w:w="0" w:type="dxa"/>
            <w:vAlign w:val="bottom"/>
          </w:tcPr>
          <w:p>
            <w:pPr>
              <w:spacing w:after="0"/>
              <w:rPr>
                <w:sz w:val="1"/>
                <w:szCs w:val="1"/>
                <w:color w:val="auto"/>
              </w:rPr>
            </w:pPr>
          </w:p>
        </w:tc>
      </w:tr>
      <w:tr>
        <w:trPr>
          <w:trHeight w:val="21"/>
        </w:trPr>
        <w:tc>
          <w:tcPr>
            <w:tcW w:w="49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Operating income</w:t>
            </w: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Device Solutions</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26,485</w:t>
            </w:r>
          </w:p>
        </w:tc>
        <w:tc>
          <w:tcPr>
            <w:tcW w:w="3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17,675</w:t>
            </w:r>
          </w:p>
        </w:tc>
        <w:tc>
          <w:tcPr>
            <w:tcW w:w="100" w:type="dxa"/>
            <w:vAlign w:val="bottom"/>
          </w:tcPr>
          <w:p>
            <w:pPr>
              <w:spacing w:after="0"/>
              <w:rPr>
                <w:sz w:val="23"/>
                <w:szCs w:val="23"/>
                <w:color w:val="auto"/>
              </w:rPr>
            </w:pP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71,913</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45,837</w:t>
            </w:r>
          </w:p>
        </w:tc>
        <w:tc>
          <w:tcPr>
            <w:tcW w:w="0" w:type="dxa"/>
            <w:vAlign w:val="bottom"/>
          </w:tcPr>
          <w:p>
            <w:pPr>
              <w:spacing w:after="0"/>
              <w:rPr>
                <w:sz w:val="1"/>
                <w:szCs w:val="1"/>
                <w:color w:val="auto"/>
              </w:rPr>
            </w:pPr>
          </w:p>
        </w:tc>
      </w:tr>
      <w:tr>
        <w:trPr>
          <w:trHeight w:val="270"/>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Networked Solutions</w:t>
            </w:r>
          </w:p>
        </w:tc>
        <w:tc>
          <w:tcPr>
            <w:tcW w:w="320" w:type="dxa"/>
            <w:vAlign w:val="bottom"/>
          </w:tcPr>
          <w:p>
            <w:pPr>
              <w:spacing w:after="0"/>
              <w:rPr>
                <w:sz w:val="23"/>
                <w:szCs w:val="23"/>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115,231</w:t>
            </w:r>
          </w:p>
        </w:tc>
        <w:tc>
          <w:tcPr>
            <w:tcW w:w="320" w:type="dxa"/>
            <w:vAlign w:val="bottom"/>
          </w:tcPr>
          <w:p>
            <w:pPr>
              <w:spacing w:after="0"/>
              <w:rPr>
                <w:sz w:val="23"/>
                <w:szCs w:val="23"/>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102,503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349,353</w:t>
            </w:r>
          </w:p>
        </w:tc>
        <w:tc>
          <w:tcPr>
            <w:tcW w:w="30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266,052</w:t>
            </w:r>
          </w:p>
        </w:tc>
        <w:tc>
          <w:tcPr>
            <w:tcW w:w="0" w:type="dxa"/>
            <w:vAlign w:val="bottom"/>
          </w:tcPr>
          <w:p>
            <w:pPr>
              <w:spacing w:after="0"/>
              <w:rPr>
                <w:sz w:val="1"/>
                <w:szCs w:val="1"/>
                <w:color w:val="auto"/>
              </w:rPr>
            </w:pPr>
          </w:p>
        </w:tc>
      </w:tr>
      <w:tr>
        <w:trPr>
          <w:trHeight w:val="270"/>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Outcomes</w:t>
            </w:r>
          </w:p>
        </w:tc>
        <w:tc>
          <w:tcPr>
            <w:tcW w:w="320" w:type="dxa"/>
            <w:vAlign w:val="bottom"/>
          </w:tcPr>
          <w:p>
            <w:pPr>
              <w:spacing w:after="0"/>
              <w:rPr>
                <w:sz w:val="23"/>
                <w:szCs w:val="23"/>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11,186</w:t>
            </w:r>
          </w:p>
        </w:tc>
        <w:tc>
          <w:tcPr>
            <w:tcW w:w="320" w:type="dxa"/>
            <w:vAlign w:val="bottom"/>
          </w:tcPr>
          <w:p>
            <w:pPr>
              <w:spacing w:after="0"/>
              <w:rPr>
                <w:sz w:val="23"/>
                <w:szCs w:val="23"/>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10,280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30,928</w:t>
            </w:r>
          </w:p>
        </w:tc>
        <w:tc>
          <w:tcPr>
            <w:tcW w:w="30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35,867</w:t>
            </w:r>
          </w:p>
        </w:tc>
        <w:tc>
          <w:tcPr>
            <w:tcW w:w="0" w:type="dxa"/>
            <w:vAlign w:val="bottom"/>
          </w:tcPr>
          <w:p>
            <w:pPr>
              <w:spacing w:after="0"/>
              <w:rPr>
                <w:sz w:val="1"/>
                <w:szCs w:val="1"/>
                <w:color w:val="auto"/>
              </w:rPr>
            </w:pPr>
          </w:p>
        </w:tc>
      </w:tr>
      <w:tr>
        <w:trPr>
          <w:trHeight w:val="283"/>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Corporate unallocated</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(78,969)</w:t>
            </w: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(75,568)</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(250,814)</w:t>
            </w: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(268,159)</w:t>
            </w:r>
          </w:p>
        </w:tc>
        <w:tc>
          <w:tcPr>
            <w:tcW w:w="0" w:type="dxa"/>
            <w:vAlign w:val="bottom"/>
          </w:tcPr>
          <w:p>
            <w:pPr>
              <w:spacing w:after="0"/>
              <w:rPr>
                <w:sz w:val="1"/>
                <w:szCs w:val="1"/>
                <w:color w:val="auto"/>
              </w:rPr>
            </w:pPr>
          </w:p>
        </w:tc>
      </w:tr>
      <w:tr>
        <w:trPr>
          <w:trHeight w:val="264"/>
        </w:trPr>
        <w:tc>
          <w:tcPr>
            <w:tcW w:w="4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Total Company</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73,933</w:t>
            </w: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54,890</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201,380</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79,597</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Total Gross Margin</w:t>
            </w: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4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34.1%</w:t>
            </w: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34.2%</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ITRON, INC.</w:t>
      </w:r>
    </w:p>
    <w:p>
      <w:pPr>
        <w:sectPr>
          <w:pgSz w:w="11900" w:h="16838" w:orient="portrait"/>
          <w:cols w:equalWidth="0" w:num="1">
            <w:col w:w="11220"/>
          </w:cols>
          <w:pgMar w:left="340" w:top="382" w:right="3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87"/>
        </w:trPr>
        <w:tc>
          <w:tcPr>
            <w:tcW w:w="8200" w:type="dxa"/>
            <w:vAlign w:val="bottom"/>
          </w:tcPr>
          <w:p>
            <w:pPr>
              <w:ind w:left="3740"/>
              <w:spacing w:after="0"/>
              <w:rPr>
                <w:sz w:val="20"/>
                <w:szCs w:val="20"/>
                <w:color w:val="auto"/>
              </w:rPr>
            </w:pPr>
            <w:r>
              <w:rPr>
                <w:rFonts w:ascii="Times New Roman" w:cs="Times New Roman" w:eastAsia="Times New Roman" w:hAnsi="Times New Roman"/>
                <w:sz w:val="22"/>
                <w:szCs w:val="22"/>
                <w:b w:val="1"/>
                <w:bCs w:val="1"/>
                <w:color w:val="auto"/>
              </w:rPr>
              <w:t>CONSOLIDATED BALANCE SHEETS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8200" w:type="dxa"/>
            <w:vAlign w:val="bottom"/>
          </w:tcPr>
          <w:p>
            <w:pPr>
              <w:spacing w:after="0"/>
              <w:rPr>
                <w:sz w:val="24"/>
                <w:szCs w:val="24"/>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December 31,</w:t>
            </w:r>
          </w:p>
        </w:tc>
        <w:tc>
          <w:tcPr>
            <w:tcW w:w="0" w:type="dxa"/>
            <w:vAlign w:val="bottom"/>
          </w:tcPr>
          <w:p>
            <w:pPr>
              <w:spacing w:after="0"/>
              <w:rPr>
                <w:sz w:val="1"/>
                <w:szCs w:val="1"/>
                <w:color w:val="auto"/>
              </w:rPr>
            </w:pPr>
          </w:p>
        </w:tc>
      </w:tr>
      <w:tr>
        <w:trPr>
          <w:trHeight w:val="286"/>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(Unaudited, in thousands)</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2023</w:t>
            </w:r>
          </w:p>
        </w:tc>
        <w:tc>
          <w:tcPr>
            <w:tcW w:w="0" w:type="dxa"/>
            <w:vAlign w:val="bottom"/>
          </w:tcPr>
          <w:p>
            <w:pPr>
              <w:spacing w:after="0"/>
              <w:rPr>
                <w:sz w:val="1"/>
                <w:szCs w:val="1"/>
                <w:color w:val="auto"/>
              </w:rPr>
            </w:pPr>
          </w:p>
        </w:tc>
      </w:tr>
      <w:tr>
        <w:trPr>
          <w:trHeight w:val="251"/>
        </w:trPr>
        <w:tc>
          <w:tcPr>
            <w:tcW w:w="8200" w:type="dxa"/>
            <w:vAlign w:val="bottom"/>
          </w:tcPr>
          <w:p>
            <w:pPr>
              <w:ind w:left="3680"/>
              <w:spacing w:after="0" w:line="251" w:lineRule="exact"/>
              <w:rPr>
                <w:sz w:val="20"/>
                <w:szCs w:val="20"/>
                <w:color w:val="auto"/>
              </w:rPr>
            </w:pPr>
            <w:r>
              <w:rPr>
                <w:rFonts w:ascii="Times New Roman" w:cs="Times New Roman" w:eastAsia="Times New Roman" w:hAnsi="Times New Roman"/>
                <w:sz w:val="22"/>
                <w:szCs w:val="22"/>
                <w:b w:val="1"/>
                <w:bCs w:val="1"/>
                <w:color w:val="auto"/>
              </w:rPr>
              <w:t>ASSETS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Current assets</w:t>
            </w: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982,507</w:t>
            </w:r>
          </w:p>
        </w:tc>
        <w:tc>
          <w:tcPr>
            <w:tcW w:w="100" w:type="dxa"/>
            <w:vAlign w:val="bottom"/>
          </w:tcPr>
          <w:p>
            <w:pPr>
              <w:spacing w:after="0"/>
              <w:rPr>
                <w:sz w:val="23"/>
                <w:szCs w:val="23"/>
                <w:color w:val="auto"/>
              </w:rPr>
            </w:pP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302,049</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Accounts receivable, net</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338,769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303,821</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Inventories</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276,616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283,686</w:t>
            </w:r>
          </w:p>
        </w:tc>
        <w:tc>
          <w:tcPr>
            <w:tcW w:w="0" w:type="dxa"/>
            <w:vAlign w:val="bottom"/>
          </w:tcPr>
          <w:p>
            <w:pPr>
              <w:spacing w:after="0"/>
              <w:rPr>
                <w:sz w:val="1"/>
                <w:szCs w:val="1"/>
                <w:color w:val="auto"/>
              </w:rPr>
            </w:pPr>
          </w:p>
        </w:tc>
      </w:tr>
      <w:tr>
        <w:trPr>
          <w:trHeight w:val="282"/>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current assets</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156,642</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159,882</w:t>
            </w:r>
          </w:p>
        </w:tc>
        <w:tc>
          <w:tcPr>
            <w:tcW w:w="0" w:type="dxa"/>
            <w:vAlign w:val="bottom"/>
          </w:tcPr>
          <w:p>
            <w:pPr>
              <w:spacing w:after="0"/>
              <w:rPr>
                <w:sz w:val="1"/>
                <w:szCs w:val="1"/>
                <w:color w:val="auto"/>
              </w:rPr>
            </w:pPr>
          </w:p>
        </w:tc>
      </w:tr>
      <w:tr>
        <w:trPr>
          <w:trHeight w:val="277"/>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 current assets</w:t>
            </w:r>
          </w:p>
        </w:tc>
        <w:tc>
          <w:tcPr>
            <w:tcW w:w="3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1,754,534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1,049,438</w:t>
            </w:r>
          </w:p>
        </w:tc>
        <w:tc>
          <w:tcPr>
            <w:tcW w:w="0" w:type="dxa"/>
            <w:vAlign w:val="bottom"/>
          </w:tcPr>
          <w:p>
            <w:pPr>
              <w:spacing w:after="0"/>
              <w:rPr>
                <w:sz w:val="1"/>
                <w:szCs w:val="1"/>
                <w:color w:val="auto"/>
              </w:rPr>
            </w:pPr>
          </w:p>
        </w:tc>
      </w:tr>
      <w:tr>
        <w:trPr>
          <w:trHeight w:val="514"/>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Property, plant, and equipment, net</w:t>
            </w:r>
          </w:p>
        </w:tc>
        <w:tc>
          <w:tcPr>
            <w:tcW w:w="3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120,449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128,806</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Deferred tax assets, net</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290,259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247,211</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Other long-term assets</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40,804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38,836</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Operating lease right-of-use assets, net</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37,641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41,186</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Intangible assets, net</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47,969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46,282</w:t>
            </w:r>
          </w:p>
        </w:tc>
        <w:tc>
          <w:tcPr>
            <w:tcW w:w="0" w:type="dxa"/>
            <w:vAlign w:val="bottom"/>
          </w:tcPr>
          <w:p>
            <w:pPr>
              <w:spacing w:after="0"/>
              <w:rPr>
                <w:sz w:val="1"/>
                <w:szCs w:val="1"/>
                <w:color w:val="auto"/>
              </w:rPr>
            </w:pPr>
          </w:p>
        </w:tc>
      </w:tr>
      <w:tr>
        <w:trPr>
          <w:trHeight w:val="283"/>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Goodwill</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1,073,757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1,052,504</w:t>
            </w:r>
          </w:p>
        </w:tc>
        <w:tc>
          <w:tcPr>
            <w:tcW w:w="0" w:type="dxa"/>
            <w:vAlign w:val="bottom"/>
          </w:tcPr>
          <w:p>
            <w:pPr>
              <w:spacing w:after="0"/>
              <w:rPr>
                <w:sz w:val="1"/>
                <w:szCs w:val="1"/>
                <w:color w:val="auto"/>
              </w:rPr>
            </w:pPr>
          </w:p>
        </w:tc>
      </w:tr>
      <w:tr>
        <w:trPr>
          <w:trHeight w:val="264"/>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 assets</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3,365,413</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2,604,263</w:t>
            </w:r>
          </w:p>
        </w:tc>
        <w:tc>
          <w:tcPr>
            <w:tcW w:w="0" w:type="dxa"/>
            <w:vAlign w:val="bottom"/>
          </w:tcPr>
          <w:p>
            <w:pPr>
              <w:spacing w:after="0"/>
              <w:rPr>
                <w:sz w:val="1"/>
                <w:szCs w:val="1"/>
                <w:color w:val="auto"/>
              </w:rPr>
            </w:pPr>
          </w:p>
        </w:tc>
      </w:tr>
      <w:tr>
        <w:trPr>
          <w:trHeight w:val="21"/>
        </w:trPr>
        <w:tc>
          <w:tcPr>
            <w:tcW w:w="8200" w:type="dxa"/>
            <w:vAlign w:val="bottom"/>
            <w:vMerge w:val="restart"/>
          </w:tcPr>
          <w:p>
            <w:pPr>
              <w:ind w:left="2720"/>
              <w:spacing w:after="0"/>
              <w:rPr>
                <w:sz w:val="20"/>
                <w:szCs w:val="20"/>
                <w:color w:val="auto"/>
              </w:rPr>
            </w:pPr>
            <w:r>
              <w:rPr>
                <w:rFonts w:ascii="Times New Roman" w:cs="Times New Roman" w:eastAsia="Times New Roman" w:hAnsi="Times New Roman"/>
                <w:sz w:val="22"/>
                <w:szCs w:val="22"/>
                <w:b w:val="1"/>
                <w:bCs w:val="1"/>
                <w:color w:val="auto"/>
              </w:rPr>
              <w:t>LIABILITIES AND EQUITY</w:t>
            </w: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2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Current liabilities</w:t>
            </w: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Accounts payable</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152,510</w:t>
            </w:r>
          </w:p>
        </w:tc>
        <w:tc>
          <w:tcPr>
            <w:tcW w:w="100" w:type="dxa"/>
            <w:vAlign w:val="bottom"/>
          </w:tcPr>
          <w:p>
            <w:pPr>
              <w:spacing w:after="0"/>
              <w:rPr>
                <w:sz w:val="23"/>
                <w:szCs w:val="23"/>
                <w:color w:val="auto"/>
              </w:rPr>
            </w:pP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199,520</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current liabilities</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61,151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54,407</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Wages and benefits payable</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118,634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135,803</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Taxes payable</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14,273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8,636</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Current portion of warranty</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13,807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14,663</w:t>
            </w:r>
          </w:p>
        </w:tc>
        <w:tc>
          <w:tcPr>
            <w:tcW w:w="0" w:type="dxa"/>
            <w:vAlign w:val="bottom"/>
          </w:tcPr>
          <w:p>
            <w:pPr>
              <w:spacing w:after="0"/>
              <w:rPr>
                <w:sz w:val="1"/>
                <w:szCs w:val="1"/>
                <w:color w:val="auto"/>
              </w:rPr>
            </w:pPr>
          </w:p>
        </w:tc>
      </w:tr>
      <w:tr>
        <w:trPr>
          <w:trHeight w:val="282"/>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Unearned revenue</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161,096</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124,207</w:t>
            </w:r>
          </w:p>
        </w:tc>
        <w:tc>
          <w:tcPr>
            <w:tcW w:w="0" w:type="dxa"/>
            <w:vAlign w:val="bottom"/>
          </w:tcPr>
          <w:p>
            <w:pPr>
              <w:spacing w:after="0"/>
              <w:rPr>
                <w:sz w:val="1"/>
                <w:szCs w:val="1"/>
                <w:color w:val="auto"/>
              </w:rPr>
            </w:pPr>
          </w:p>
        </w:tc>
      </w:tr>
      <w:tr>
        <w:trPr>
          <w:trHeight w:val="277"/>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 current liabilities</w:t>
            </w:r>
          </w:p>
        </w:tc>
        <w:tc>
          <w:tcPr>
            <w:tcW w:w="3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521,471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537,236</w:t>
            </w:r>
          </w:p>
        </w:tc>
        <w:tc>
          <w:tcPr>
            <w:tcW w:w="0" w:type="dxa"/>
            <w:vAlign w:val="bottom"/>
          </w:tcPr>
          <w:p>
            <w:pPr>
              <w:spacing w:after="0"/>
              <w:rPr>
                <w:sz w:val="1"/>
                <w:szCs w:val="1"/>
                <w:color w:val="auto"/>
              </w:rPr>
            </w:pPr>
          </w:p>
        </w:tc>
      </w:tr>
      <w:tr>
        <w:trPr>
          <w:trHeight w:val="514"/>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Long-term debt, net</w:t>
            </w:r>
          </w:p>
        </w:tc>
        <w:tc>
          <w:tcPr>
            <w:tcW w:w="3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1,240,950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454,827</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Long-term warranty</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7,925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7,501</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Pension benefit obligation</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64,886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63,887</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Deferred tax liabilities, net</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622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697</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Operating lease liabilities</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28,820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32,656</w:t>
            </w:r>
          </w:p>
        </w:tc>
        <w:tc>
          <w:tcPr>
            <w:tcW w:w="0" w:type="dxa"/>
            <w:vAlign w:val="bottom"/>
          </w:tcPr>
          <w:p>
            <w:pPr>
              <w:spacing w:after="0"/>
              <w:rPr>
                <w:sz w:val="1"/>
                <w:szCs w:val="1"/>
                <w:color w:val="auto"/>
              </w:rPr>
            </w:pPr>
          </w:p>
        </w:tc>
      </w:tr>
      <w:tr>
        <w:trPr>
          <w:trHeight w:val="282"/>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Other long-term obligations</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132,052</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176,028</w:t>
            </w:r>
          </w:p>
        </w:tc>
        <w:tc>
          <w:tcPr>
            <w:tcW w:w="0" w:type="dxa"/>
            <w:vAlign w:val="bottom"/>
          </w:tcPr>
          <w:p>
            <w:pPr>
              <w:spacing w:after="0"/>
              <w:rPr>
                <w:sz w:val="1"/>
                <w:szCs w:val="1"/>
                <w:color w:val="auto"/>
              </w:rPr>
            </w:pPr>
          </w:p>
        </w:tc>
      </w:tr>
      <w:tr>
        <w:trPr>
          <w:trHeight w:val="277"/>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 liabilities</w:t>
            </w:r>
          </w:p>
        </w:tc>
        <w:tc>
          <w:tcPr>
            <w:tcW w:w="3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1,996,726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1,272,832</w:t>
            </w:r>
          </w:p>
        </w:tc>
        <w:tc>
          <w:tcPr>
            <w:tcW w:w="0" w:type="dxa"/>
            <w:vAlign w:val="bottom"/>
          </w:tcPr>
          <w:p>
            <w:pPr>
              <w:spacing w:after="0"/>
              <w:rPr>
                <w:sz w:val="1"/>
                <w:szCs w:val="1"/>
                <w:color w:val="auto"/>
              </w:rPr>
            </w:pPr>
          </w:p>
        </w:tc>
      </w:tr>
      <w:tr>
        <w:trPr>
          <w:trHeight w:val="514"/>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Equity</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Common stock</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1,673,916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1,820,510</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Accumulated other comprehensive loss, net</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(78,186)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(81,190)</w:t>
            </w:r>
          </w:p>
        </w:tc>
        <w:tc>
          <w:tcPr>
            <w:tcW w:w="0" w:type="dxa"/>
            <w:vAlign w:val="bottom"/>
          </w:tcPr>
          <w:p>
            <w:pPr>
              <w:spacing w:after="0"/>
              <w:rPr>
                <w:sz w:val="1"/>
                <w:szCs w:val="1"/>
                <w:color w:val="auto"/>
              </w:rPr>
            </w:pPr>
          </w:p>
        </w:tc>
      </w:tr>
      <w:tr>
        <w:trPr>
          <w:trHeight w:val="282"/>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Accumulated deficit</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(247,411)</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(428,409)</w:t>
            </w:r>
          </w:p>
        </w:tc>
        <w:tc>
          <w:tcPr>
            <w:tcW w:w="0" w:type="dxa"/>
            <w:vAlign w:val="bottom"/>
          </w:tcPr>
          <w:p>
            <w:pPr>
              <w:spacing w:after="0"/>
              <w:rPr>
                <w:sz w:val="1"/>
                <w:szCs w:val="1"/>
                <w:color w:val="auto"/>
              </w:rPr>
            </w:pPr>
          </w:p>
        </w:tc>
      </w:tr>
      <w:tr>
        <w:trPr>
          <w:trHeight w:val="251"/>
        </w:trPr>
        <w:tc>
          <w:tcPr>
            <w:tcW w:w="8200" w:type="dxa"/>
            <w:vAlign w:val="bottom"/>
          </w:tcPr>
          <w:p>
            <w:pPr>
              <w:ind w:left="240"/>
              <w:spacing w:after="0" w:line="251" w:lineRule="exact"/>
              <w:rPr>
                <w:sz w:val="20"/>
                <w:szCs w:val="20"/>
                <w:color w:val="auto"/>
              </w:rPr>
            </w:pPr>
            <w:r>
              <w:rPr>
                <w:rFonts w:ascii="Times New Roman" w:cs="Times New Roman" w:eastAsia="Times New Roman" w:hAnsi="Times New Roman"/>
                <w:sz w:val="22"/>
                <w:szCs w:val="22"/>
                <w:color w:val="auto"/>
              </w:rPr>
              <w:t>Total Itron, Inc. shareholders' equity</w:t>
            </w:r>
          </w:p>
        </w:tc>
        <w:tc>
          <w:tcPr>
            <w:tcW w:w="300" w:type="dxa"/>
            <w:vAlign w:val="bottom"/>
          </w:tcPr>
          <w:p>
            <w:pPr>
              <w:spacing w:after="0"/>
              <w:rPr>
                <w:sz w:val="21"/>
                <w:szCs w:val="21"/>
                <w:color w:val="auto"/>
              </w:rPr>
            </w:pPr>
          </w:p>
        </w:tc>
        <w:tc>
          <w:tcPr>
            <w:tcW w:w="116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1,348,319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1,310,911</w:t>
            </w:r>
          </w:p>
        </w:tc>
        <w:tc>
          <w:tcPr>
            <w:tcW w:w="0" w:type="dxa"/>
            <w:vAlign w:val="bottom"/>
          </w:tcPr>
          <w:p>
            <w:pPr>
              <w:spacing w:after="0"/>
              <w:rPr>
                <w:sz w:val="1"/>
                <w:szCs w:val="1"/>
                <w:color w:val="auto"/>
              </w:rPr>
            </w:pPr>
          </w:p>
        </w:tc>
      </w:tr>
      <w:tr>
        <w:trPr>
          <w:trHeight w:val="282"/>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Noncontrolling interests</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20,368</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20,520</w:t>
            </w:r>
          </w:p>
        </w:tc>
        <w:tc>
          <w:tcPr>
            <w:tcW w:w="0" w:type="dxa"/>
            <w:vAlign w:val="bottom"/>
          </w:tcPr>
          <w:p>
            <w:pPr>
              <w:spacing w:after="0"/>
              <w:rPr>
                <w:sz w:val="1"/>
                <w:szCs w:val="1"/>
                <w:color w:val="auto"/>
              </w:rPr>
            </w:pPr>
          </w:p>
        </w:tc>
      </w:tr>
      <w:tr>
        <w:trPr>
          <w:trHeight w:val="265"/>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 equity</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1,368,687</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1,331,431</w:t>
            </w:r>
          </w:p>
        </w:tc>
        <w:tc>
          <w:tcPr>
            <w:tcW w:w="0" w:type="dxa"/>
            <w:vAlign w:val="bottom"/>
          </w:tcPr>
          <w:p>
            <w:pPr>
              <w:spacing w:after="0"/>
              <w:rPr>
                <w:sz w:val="1"/>
                <w:szCs w:val="1"/>
                <w:color w:val="auto"/>
              </w:rPr>
            </w:pPr>
          </w:p>
        </w:tc>
      </w:tr>
      <w:tr>
        <w:trPr>
          <w:trHeight w:val="264"/>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 liabilities and equity</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3,365,413</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2,604,263</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200" w:type="dxa"/>
            <w:vAlign w:val="bottom"/>
          </w:tcPr>
          <w:p>
            <w:pPr>
              <w:spacing w:after="0"/>
              <w:rPr>
                <w:sz w:val="21"/>
                <w:szCs w:val="21"/>
                <w:color w:val="auto"/>
              </w:rPr>
            </w:pPr>
          </w:p>
        </w:tc>
        <w:tc>
          <w:tcPr>
            <w:tcW w:w="3020" w:type="dxa"/>
            <w:vAlign w:val="bottom"/>
            <w:gridSpan w:val="6"/>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Nine Months Ended September</w:t>
            </w:r>
          </w:p>
        </w:tc>
      </w:tr>
      <w:tr>
        <w:trPr>
          <w:trHeight w:val="287"/>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(Unaudited, in thousands)</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22"/>
                <w:szCs w:val="22"/>
                <w:b w:val="1"/>
                <w:bCs w:val="1"/>
                <w:color w:val="auto"/>
                <w:w w:val="94"/>
              </w:rPr>
              <w:t>30,</w:t>
            </w:r>
          </w:p>
        </w:tc>
        <w:tc>
          <w:tcPr>
            <w:tcW w:w="1140" w:type="dxa"/>
            <w:vAlign w:val="bottom"/>
            <w:tcBorders>
              <w:bottom w:val="single" w:sz="8" w:color="auto"/>
            </w:tcBorders>
          </w:tcPr>
          <w:p>
            <w:pPr>
              <w:spacing w:after="0"/>
              <w:rPr>
                <w:sz w:val="24"/>
                <w:szCs w:val="24"/>
                <w:color w:val="auto"/>
              </w:rPr>
            </w:pPr>
          </w:p>
        </w:tc>
      </w:tr>
      <w:tr>
        <w:trPr>
          <w:trHeight w:val="264"/>
        </w:trPr>
        <w:tc>
          <w:tcPr>
            <w:tcW w:w="82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2023</w:t>
            </w:r>
          </w:p>
        </w:tc>
      </w:tr>
      <w:tr>
        <w:trPr>
          <w:trHeight w:val="250"/>
        </w:trPr>
        <w:tc>
          <w:tcPr>
            <w:tcW w:w="820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Operating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Net income</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182,557</w:t>
            </w: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53,411</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Adjustments to reconcile net income to net cash provided by operating activities: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Depreciation and amortization of intangible assets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40,979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42,013</w:t>
            </w:r>
          </w:p>
        </w:tc>
      </w:tr>
      <w:tr>
        <w:trPr>
          <w:trHeight w:val="282"/>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Non-cash operating lease expense</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11,481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12,197</w:t>
            </w:r>
          </w:p>
        </w:tc>
      </w:tr>
    </w:tbl>
    <w:p>
      <w:pPr>
        <w:sectPr>
          <w:pgSz w:w="11900" w:h="16838" w:orient="portrait"/>
          <w:cols w:equalWidth="0" w:num="1">
            <w:col w:w="11220"/>
          </w:cols>
          <w:pgMar w:left="340" w:top="108" w:right="339" w:bottom="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Stock-based compensation</w:t>
            </w:r>
          </w:p>
        </w:tc>
        <w:tc>
          <w:tcPr>
            <w:tcW w:w="3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32,067</w:t>
            </w: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20,531</w:t>
            </w:r>
          </w:p>
        </w:tc>
      </w:tr>
      <w:tr>
        <w:trPr>
          <w:trHeight w:val="270"/>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Amortization of prepaid debt fees</w:t>
            </w:r>
          </w:p>
        </w:tc>
        <w:tc>
          <w:tcPr>
            <w:tcW w:w="3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3,669</w:t>
            </w: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2,761</w:t>
            </w:r>
          </w:p>
        </w:tc>
      </w:tr>
      <w:tr>
        <w:trPr>
          <w:trHeight w:val="270"/>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Deferred taxes, net</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(17,509)</w:t>
            </w: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1,938</w:t>
            </w:r>
          </w:p>
        </w:tc>
      </w:tr>
      <w:tr>
        <w:trPr>
          <w:trHeight w:val="270"/>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Loss on sale of business</w:t>
            </w:r>
          </w:p>
        </w:tc>
        <w:tc>
          <w:tcPr>
            <w:tcW w:w="3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656</w:t>
            </w: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675</w:t>
            </w:r>
          </w:p>
        </w:tc>
      </w:tr>
      <w:tr>
        <w:trPr>
          <w:trHeight w:val="270"/>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Restructuring, non-cash</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(171)</w:t>
            </w: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910</w:t>
            </w:r>
          </w:p>
        </w:tc>
      </w:tr>
      <w:tr>
        <w:trPr>
          <w:trHeight w:val="270"/>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Other adjustments, net</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(838)</w:t>
            </w: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(318)</w:t>
            </w: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Changes in operating assets and liabilities, net of acquisition and sale of business:</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Accounts receivable</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(31,169)</w:t>
            </w: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(37,832)</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Inventories</w:t>
            </w:r>
          </w:p>
        </w:tc>
        <w:tc>
          <w:tcPr>
            <w:tcW w:w="3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5,532</w:t>
            </w: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(48,280)</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current assets</w:t>
            </w:r>
          </w:p>
        </w:tc>
        <w:tc>
          <w:tcPr>
            <w:tcW w:w="3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4,102</w:t>
            </w: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(43,240)</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long-term assets</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(1,391)</w:t>
            </w: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3,392</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Accounts payable, other current liabilities, and taxes payable</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(39,054)</w:t>
            </w: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220</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Wages and benefits payable</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(18,010)</w:t>
            </w: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17,361</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Unearned revenue</w:t>
            </w:r>
          </w:p>
        </w:tc>
        <w:tc>
          <w:tcPr>
            <w:tcW w:w="3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33,453</w:t>
            </w: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38,619</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Warranty</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(476)</w:t>
            </w: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(2,177)</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Restructuring</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(19,816)</w:t>
            </w: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23,966</w:t>
            </w:r>
          </w:p>
        </w:tc>
      </w:tr>
      <w:tr>
        <w:trPr>
          <w:trHeight w:val="282"/>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operating, net</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(27,736)</w:t>
            </w: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(9,071)</w:t>
            </w:r>
          </w:p>
        </w:tc>
      </w:tr>
      <w:tr>
        <w:trPr>
          <w:trHeight w:val="277"/>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Net cash provided by operating activities</w:t>
            </w:r>
          </w:p>
        </w:tc>
        <w:tc>
          <w:tcPr>
            <w:tcW w:w="340" w:type="dxa"/>
            <w:vAlign w:val="bottom"/>
          </w:tcPr>
          <w:p>
            <w:pPr>
              <w:spacing w:after="0"/>
              <w:rPr>
                <w:sz w:val="24"/>
                <w:szCs w:val="24"/>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158,326</w:t>
            </w:r>
          </w:p>
        </w:tc>
        <w:tc>
          <w:tcPr>
            <w:tcW w:w="4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77,076</w:t>
            </w:r>
          </w:p>
        </w:tc>
      </w:tr>
      <w:tr>
        <w:trPr>
          <w:trHeight w:val="514"/>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Investing activities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Net proceeds (payments) related to the sale of business</w:t>
            </w:r>
          </w:p>
        </w:tc>
        <w:tc>
          <w:tcPr>
            <w:tcW w:w="3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405</w:t>
            </w: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(772)</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Acquisitions of property, plant, and equipment</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(20,878)</w:t>
            </w: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(18,304)</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Business acquisitions, net of cash and cash equivalents acquired</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(34,126)</w:t>
            </w: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82"/>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investing, net</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212</w:t>
            </w: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277"/>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Net cash used in investing activities</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(54,387)</w:t>
            </w:r>
          </w:p>
        </w:tc>
        <w:tc>
          <w:tcPr>
            <w:tcW w:w="4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(19,003)</w:t>
            </w:r>
          </w:p>
        </w:tc>
      </w:tr>
      <w:tr>
        <w:trPr>
          <w:trHeight w:val="514"/>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Financing activities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Proceeds from borrowings</w:t>
            </w:r>
          </w:p>
        </w:tc>
        <w:tc>
          <w:tcPr>
            <w:tcW w:w="3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805,000</w:t>
            </w: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Issuance of common stock</w:t>
            </w:r>
          </w:p>
        </w:tc>
        <w:tc>
          <w:tcPr>
            <w:tcW w:w="3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4,317</w:t>
            </w: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2,366</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Payments on call spread for convertible offering</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(108,997)</w:t>
            </w: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Repurchase of common stock</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(100,000)</w:t>
            </w: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Prepaid debt fees</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(21,617)</w:t>
            </w: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(517)</w:t>
            </w:r>
          </w:p>
        </w:tc>
      </w:tr>
      <w:tr>
        <w:trPr>
          <w:trHeight w:val="282"/>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financing, net</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(2,618)</w:t>
            </w: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(4,488)</w:t>
            </w:r>
          </w:p>
        </w:tc>
      </w:tr>
      <w:tr>
        <w:trPr>
          <w:trHeight w:val="277"/>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Net cash provided by (used in) financing activities</w:t>
            </w:r>
          </w:p>
        </w:tc>
        <w:tc>
          <w:tcPr>
            <w:tcW w:w="340" w:type="dxa"/>
            <w:vAlign w:val="bottom"/>
          </w:tcPr>
          <w:p>
            <w:pPr>
              <w:spacing w:after="0"/>
              <w:rPr>
                <w:sz w:val="24"/>
                <w:szCs w:val="24"/>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576,085</w:t>
            </w:r>
          </w:p>
        </w:tc>
        <w:tc>
          <w:tcPr>
            <w:tcW w:w="4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(2,639)</w:t>
            </w:r>
          </w:p>
        </w:tc>
      </w:tr>
      <w:tr>
        <w:trPr>
          <w:trHeight w:val="526"/>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Effect of foreign exchange rate changes on cash and cash equivalents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434</w:t>
            </w: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(2,670)</w:t>
            </w:r>
          </w:p>
        </w:tc>
      </w:tr>
      <w:tr>
        <w:trPr>
          <w:trHeight w:val="251"/>
        </w:trPr>
        <w:tc>
          <w:tcPr>
            <w:tcW w:w="820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Increase in cash and cash equivalents</w:t>
            </w:r>
          </w:p>
        </w:tc>
        <w:tc>
          <w:tcPr>
            <w:tcW w:w="340" w:type="dxa"/>
            <w:vAlign w:val="bottom"/>
          </w:tcPr>
          <w:p>
            <w:pPr>
              <w:spacing w:after="0"/>
              <w:rPr>
                <w:sz w:val="21"/>
                <w:szCs w:val="21"/>
                <w:color w:val="auto"/>
              </w:rPr>
            </w:pPr>
          </w:p>
        </w:tc>
        <w:tc>
          <w:tcPr>
            <w:tcW w:w="1160" w:type="dxa"/>
            <w:vAlign w:val="bottom"/>
          </w:tcPr>
          <w:p>
            <w:pPr>
              <w:jc w:val="right"/>
              <w:ind w:right="52"/>
              <w:spacing w:after="0" w:line="251" w:lineRule="exact"/>
              <w:rPr>
                <w:sz w:val="20"/>
                <w:szCs w:val="20"/>
                <w:color w:val="auto"/>
              </w:rPr>
            </w:pPr>
            <w:r>
              <w:rPr>
                <w:rFonts w:ascii="Times New Roman" w:cs="Times New Roman" w:eastAsia="Times New Roman" w:hAnsi="Times New Roman"/>
                <w:sz w:val="22"/>
                <w:szCs w:val="22"/>
                <w:color w:val="auto"/>
              </w:rPr>
              <w:t>680,458</w:t>
            </w:r>
          </w:p>
        </w:tc>
        <w:tc>
          <w:tcPr>
            <w:tcW w:w="440" w:type="dxa"/>
            <w:vAlign w:val="bottom"/>
          </w:tcPr>
          <w:p>
            <w:pPr>
              <w:spacing w:after="0"/>
              <w:rPr>
                <w:sz w:val="21"/>
                <w:szCs w:val="21"/>
                <w:color w:val="auto"/>
              </w:rPr>
            </w:pPr>
          </w:p>
        </w:tc>
        <w:tc>
          <w:tcPr>
            <w:tcW w:w="10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52,764</w:t>
            </w:r>
          </w:p>
        </w:tc>
      </w:tr>
      <w:tr>
        <w:trPr>
          <w:trHeight w:val="283"/>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 at beginning of period</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302,049</w:t>
            </w: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202,007</w:t>
            </w:r>
          </w:p>
        </w:tc>
      </w:tr>
      <w:tr>
        <w:trPr>
          <w:trHeight w:val="264"/>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 at end of period</w:t>
            </w: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982,507</w:t>
            </w:r>
          </w:p>
        </w:tc>
        <w:tc>
          <w:tcPr>
            <w:tcW w:w="4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254,771</w:t>
            </w: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About Non-GAAP Financial Measures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spacing w:after="0" w:line="200" w:lineRule="exact"/>
        <w:rPr>
          <w:sz w:val="20"/>
          <w:szCs w:val="20"/>
          <w:color w:val="auto"/>
        </w:rPr>
      </w:pPr>
    </w:p>
    <w:p>
      <w:pPr>
        <w:spacing w:after="0" w:line="22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restructuring, loss on sale of business, strategic initiative expenses, or acquisition and integration related expenses.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w:t>
      </w:r>
    </w:p>
    <w:p>
      <w:pPr>
        <w:sectPr>
          <w:pgSz w:w="11900" w:h="16838" w:orient="portrait"/>
          <w:cols w:equalWidth="0" w:num="1">
            <w:col w:w="11240"/>
          </w:cols>
          <w:pgMar w:left="320" w:top="111" w:right="339" w:bottom="0" w:gutter="0" w:footer="0" w:header="0"/>
        </w:sectPr>
      </w:pPr>
    </w:p>
    <w:bookmarkStart w:id="9" w:name="page10"/>
    <w:bookmarkEnd w:id="9"/>
    <w:p>
      <w:pPr>
        <w:jc w:val="both"/>
        <w:spacing w:after="0" w:line="259" w:lineRule="auto"/>
        <w:rPr>
          <w:sz w:val="20"/>
          <w:szCs w:val="20"/>
          <w:color w:val="auto"/>
        </w:rPr>
      </w:pPr>
      <w:r>
        <w:rPr>
          <w:rFonts w:ascii="Times New Roman" w:cs="Times New Roman" w:eastAsia="Times New Roman" w:hAnsi="Times New Roman"/>
          <w:sz w:val="22"/>
          <w:szCs w:val="22"/>
          <w:color w:val="auto"/>
        </w:rPr>
        <w:t>decision making and because they are used by our institutional investors and the analyst community to analyze the health of our business.</w:t>
      </w:r>
    </w:p>
    <w:p>
      <w:pPr>
        <w:spacing w:after="0" w:line="15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i w:val="1"/>
          <w:iCs w:val="1"/>
          <w:u w:val="single" w:color="auto"/>
          <w:color w:val="auto"/>
        </w:rPr>
        <w:t>Non-GAAP operating expenses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i w:val="1"/>
          <w:iCs w:val="1"/>
          <w:u w:val="single" w:color="auto"/>
          <w:color w:val="auto"/>
        </w:rPr>
        <w:t>non-GAAP operating income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We define non-GAAP operating expenses as operating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expenses excluding certain expenses related to the amortization of intangible assets, restructuring, loss on sale of business, strategic initiative expenses, and acquisition and integration related expenses. We define non-GAAP operating income as operating income excluding the expenses related to the amortization of intangible assets, restructuring, loss on sale of business, strategic initiative expenses, and acquisition and integration related expenses.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not related to our core operating results.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17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i w:val="1"/>
          <w:iCs w:val="1"/>
          <w:u w:val="single" w:color="auto"/>
          <w:color w:val="auto"/>
        </w:rPr>
        <w:t>Non-GAAP net income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i w:val="1"/>
          <w:iCs w:val="1"/>
          <w:u w:val="single" w:color="auto"/>
          <w:color w:val="auto"/>
        </w:rPr>
        <w:t>non-GAAP diluted EPS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We define non-GAAP net income as net income attributable to Itron, Inc.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excluding the expenses associated with amortization of intangible assets, amortization of debt placement fees, restructuring, loss on sale of business, strategic initiative expenses, acquisition and integration related expenses, and the tax effect of excluding these expenses. We define non-GAAP diluted EPS as non-GAAP net income divided by diluted weighted-average shares outstanding during the period calculated on a GAAP basis and then reduced to reflect any anti-dilutive impact of the convertible notes hedge transactions.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interim periods the budgeted annual effective tax rate (AETR) is used, adjusted for any discrete items, as defined in Accounting Standards Codification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 throughout the year and use the most recent AETR anytime it increases or decreases by 200 basis points or more from the prior interim period.</w:t>
      </w:r>
    </w:p>
    <w:p>
      <w:pPr>
        <w:spacing w:after="0" w:line="17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i w:val="1"/>
          <w:iCs w:val="1"/>
          <w:u w:val="single" w:color="auto"/>
          <w:color w:val="auto"/>
        </w:rPr>
        <w:t>Adjusted EBITDA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We define adjusted EBITDA as net income (a) minus interest income, (b) plus interest expense, depreciation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amortization, restructuring, loss on sale of business, strategic initiative expenses, acquisition and integration related expenses,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u w:val="single" w:color="auto"/>
          <w:color w:val="auto"/>
        </w:rPr>
        <w:t>Free cash flow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We define free cash flow as net cash provided by operating activities less cash used for acquisitions of property,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in the reconciliation.</w:t>
      </w:r>
    </w:p>
    <w:p>
      <w:pPr>
        <w:spacing w:after="0" w:line="17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u w:val="single" w:color="auto"/>
          <w:color w:val="auto"/>
        </w:rPr>
        <w:t>Constant currency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We refer to the impact of foreign currency exchange rate fluctuations in our discussions of financial results,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references the 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tables below reconcile the non-GAAP financial measures of operating expenses, operating income, net income, diluted EPS, adjusted EBITDA, and free cash flow with the most directly comparable GAAP financial measures.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RECONCILIATIONS OF NON-GAAP FINANCIAL MEASURES</w:t>
      </w:r>
    </w:p>
    <w:p>
      <w:pPr>
        <w:sectPr>
          <w:pgSz w:w="11900" w:h="16838" w:orient="portrait"/>
          <w:cols w:equalWidth="0" w:num="1">
            <w:col w:w="11240"/>
          </w:cols>
          <w:pgMar w:left="320" w:top="111" w:right="33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75"/>
        </w:trPr>
        <w:tc>
          <w:tcPr>
            <w:tcW w:w="9660" w:type="dxa"/>
            <w:vAlign w:val="bottom"/>
            <w:gridSpan w:val="8"/>
          </w:tcPr>
          <w:p>
            <w:pPr>
              <w:ind w:left="1880"/>
              <w:spacing w:after="0"/>
              <w:rPr>
                <w:sz w:val="20"/>
                <w:szCs w:val="20"/>
                <w:color w:val="auto"/>
              </w:rPr>
            </w:pPr>
            <w:r>
              <w:rPr>
                <w:rFonts w:ascii="Times New Roman" w:cs="Times New Roman" w:eastAsia="Times New Roman" w:hAnsi="Times New Roman"/>
                <w:sz w:val="22"/>
                <w:szCs w:val="22"/>
                <w:b w:val="1"/>
                <w:bCs w:val="1"/>
                <w:color w:val="auto"/>
              </w:rPr>
              <w:t>TO THE MOST DIRECTLY COMPARABLE GAAP FINANCIAL MEASURES</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5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(Unaudited, in thousands, except per share data)</w:t>
            </w:r>
          </w:p>
        </w:tc>
        <w:tc>
          <w:tcPr>
            <w:tcW w:w="280" w:type="dxa"/>
            <w:vAlign w:val="bottom"/>
          </w:tcPr>
          <w:p>
            <w:pPr>
              <w:spacing w:after="0"/>
              <w:rPr>
                <w:sz w:val="24"/>
                <w:szCs w:val="24"/>
                <w:color w:val="auto"/>
              </w:rPr>
            </w:pPr>
          </w:p>
        </w:tc>
        <w:tc>
          <w:tcPr>
            <w:tcW w:w="2740" w:type="dxa"/>
            <w:vAlign w:val="bottom"/>
            <w:gridSpan w:val="4"/>
            <w:vMerge w:val="restart"/>
          </w:tcPr>
          <w:p>
            <w:pPr>
              <w:jc w:val="right"/>
              <w:ind w:right="62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320" w:type="dxa"/>
            <w:vAlign w:val="bottom"/>
          </w:tcPr>
          <w:p>
            <w:pPr>
              <w:spacing w:after="0"/>
              <w:rPr>
                <w:sz w:val="24"/>
                <w:szCs w:val="24"/>
                <w:color w:val="auto"/>
              </w:rPr>
            </w:pPr>
          </w:p>
        </w:tc>
        <w:tc>
          <w:tcPr>
            <w:tcW w:w="2600" w:type="dxa"/>
            <w:vAlign w:val="bottom"/>
            <w:gridSpan w:val="3"/>
            <w:vMerge w:val="restart"/>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Nine Months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40" w:type="dxa"/>
            <w:vAlign w:val="bottom"/>
            <w:gridSpan w:val="4"/>
            <w:vMerge w:val="continue"/>
          </w:tcPr>
          <w:p>
            <w:pPr>
              <w:spacing w:after="0"/>
              <w:rPr>
                <w:sz w:val="19"/>
                <w:szCs w:val="19"/>
                <w:color w:val="auto"/>
              </w:rPr>
            </w:pPr>
          </w:p>
        </w:tc>
        <w:tc>
          <w:tcPr>
            <w:tcW w:w="320" w:type="dxa"/>
            <w:vAlign w:val="bottom"/>
          </w:tcPr>
          <w:p>
            <w:pPr>
              <w:spacing w:after="0"/>
              <w:rPr>
                <w:sz w:val="19"/>
                <w:szCs w:val="19"/>
                <w:color w:val="auto"/>
              </w:rPr>
            </w:pPr>
          </w:p>
        </w:tc>
        <w:tc>
          <w:tcPr>
            <w:tcW w:w="260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52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TOTAL COMPANY RECONCILIATIONS</w:t>
            </w:r>
          </w:p>
        </w:tc>
        <w:tc>
          <w:tcPr>
            <w:tcW w:w="280" w:type="dxa"/>
            <w:vAlign w:val="bottom"/>
          </w:tcPr>
          <w:p>
            <w:pPr>
              <w:spacing w:after="0"/>
              <w:rPr>
                <w:sz w:val="24"/>
                <w:szCs w:val="24"/>
                <w:color w:val="auto"/>
              </w:rPr>
            </w:pPr>
          </w:p>
        </w:tc>
        <w:tc>
          <w:tcPr>
            <w:tcW w:w="2740" w:type="dxa"/>
            <w:vAlign w:val="bottom"/>
            <w:gridSpan w:val="4"/>
          </w:tcPr>
          <w:p>
            <w:pPr>
              <w:ind w:left="520"/>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320" w:type="dxa"/>
            <w:vAlign w:val="bottom"/>
          </w:tcPr>
          <w:p>
            <w:pPr>
              <w:spacing w:after="0"/>
              <w:rPr>
                <w:sz w:val="24"/>
                <w:szCs w:val="24"/>
                <w:color w:val="auto"/>
              </w:rPr>
            </w:pPr>
          </w:p>
        </w:tc>
        <w:tc>
          <w:tcPr>
            <w:tcW w:w="2600" w:type="dxa"/>
            <w:vAlign w:val="bottom"/>
            <w:gridSpan w:val="3"/>
          </w:tcPr>
          <w:p>
            <w:pPr>
              <w:jc w:val="center"/>
              <w:ind w:right="132"/>
              <w:spacing w:after="0"/>
              <w:rPr>
                <w:sz w:val="20"/>
                <w:szCs w:val="20"/>
                <w:color w:val="auto"/>
              </w:rPr>
            </w:pPr>
            <w:r>
              <w:rPr>
                <w:rFonts w:ascii="Times New Roman" w:cs="Times New Roman" w:eastAsia="Times New Roman" w:hAnsi="Times New Roman"/>
                <w:sz w:val="22"/>
                <w:szCs w:val="22"/>
                <w:b w:val="1"/>
                <w:bCs w:val="1"/>
                <w:color w:val="auto"/>
                <w:w w:val="98"/>
              </w:rPr>
              <w:t>September 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00" w:type="dxa"/>
            <w:vAlign w:val="bottom"/>
            <w:tcBorders>
              <w:top w:val="single" w:sz="8" w:color="auto"/>
              <w:bottom w:val="single" w:sz="8" w:color="auto"/>
            </w:tcBorders>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NON-GAAP OPERATING EXPENSES</w:t>
            </w: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2023</w:t>
            </w:r>
          </w:p>
        </w:tc>
        <w:tc>
          <w:tcPr>
            <w:tcW w:w="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GAAP operating expenses</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135,665</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132,313</w:t>
            </w:r>
          </w:p>
        </w:tc>
        <w:tc>
          <w:tcPr>
            <w:tcW w:w="120" w:type="dxa"/>
            <w:vAlign w:val="bottom"/>
          </w:tcPr>
          <w:p>
            <w:pPr>
              <w:spacing w:after="0"/>
              <w:rPr>
                <w:sz w:val="23"/>
                <w:szCs w:val="23"/>
                <w:color w:val="auto"/>
              </w:rPr>
            </w:pP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424,057</w:t>
            </w:r>
          </w:p>
        </w:tc>
        <w:tc>
          <w:tcPr>
            <w:tcW w:w="34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437,921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Amortization of intangible assets</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(4,814)</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(4,663)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(13,311)</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(14,433)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Restructuring</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723</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624</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(36,868)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Loss on sale of business</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(698)</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(656)</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Strategic initiative</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2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Acquisition and integration</w:t>
            </w: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(248)</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(656)</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Non-GAAP operating expenses</w:t>
            </w:r>
          </w:p>
        </w:tc>
        <w:tc>
          <w:tcPr>
            <w:tcW w:w="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130,628</w:t>
            </w: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128,197</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410,058</w:t>
            </w:r>
          </w:p>
        </w:tc>
        <w:tc>
          <w:tcPr>
            <w:tcW w:w="3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385,833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2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NON-GAAP OPERATING INCOME</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GAAP operating income</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73,933</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54,890</w:t>
            </w:r>
          </w:p>
        </w:tc>
        <w:tc>
          <w:tcPr>
            <w:tcW w:w="120" w:type="dxa"/>
            <w:vAlign w:val="bottom"/>
          </w:tcPr>
          <w:p>
            <w:pPr>
              <w:spacing w:after="0"/>
              <w:rPr>
                <w:sz w:val="23"/>
                <w:szCs w:val="23"/>
                <w:color w:val="auto"/>
              </w:rPr>
            </w:pP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201,380</w:t>
            </w:r>
          </w:p>
        </w:tc>
        <w:tc>
          <w:tcPr>
            <w:tcW w:w="34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79,597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Amortization of intangible assets</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4,814</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4,663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13,311</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14,433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Restructuring</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(723)</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(624)</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36,868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Loss on sale of business</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698</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656</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675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Strategic initiative</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2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Acquisition and integration</w:t>
            </w: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248</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656</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Non-GAAP operating income</w:t>
            </w:r>
          </w:p>
        </w:tc>
        <w:tc>
          <w:tcPr>
            <w:tcW w:w="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78,970</w:t>
            </w: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59,006</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215,379</w:t>
            </w:r>
          </w:p>
        </w:tc>
        <w:tc>
          <w:tcPr>
            <w:tcW w:w="3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131,685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NON-GAAP NET INCOME &amp; DILUTED EPS</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GAAP net income attributable to Itron, Inc.</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77,959</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40,172</w:t>
            </w:r>
          </w:p>
        </w:tc>
        <w:tc>
          <w:tcPr>
            <w:tcW w:w="120" w:type="dxa"/>
            <w:vAlign w:val="bottom"/>
          </w:tcPr>
          <w:p>
            <w:pPr>
              <w:spacing w:after="0"/>
              <w:rPr>
                <w:sz w:val="23"/>
                <w:szCs w:val="23"/>
                <w:color w:val="auto"/>
              </w:rPr>
            </w:pP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180,998</w:t>
            </w:r>
          </w:p>
        </w:tc>
        <w:tc>
          <w:tcPr>
            <w:tcW w:w="34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52,537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Amortization of intangible assets</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4,814</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4,663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13,311</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14,433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Amortization of debt placement fees</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1,759</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3,538</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2,629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Restructuring</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(723)</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(624)</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36,868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Loss on sale of business</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698</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656</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675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Strategic initiative</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Acquisition and integration</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248</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656</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2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Income tax effect of non-GAAP adjustments</w:t>
            </w: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(504)</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(293)</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(891)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(10,156)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Non-GAAP net income attributable to Itron, Inc.</w:t>
            </w:r>
          </w:p>
        </w:tc>
        <w:tc>
          <w:tcPr>
            <w:tcW w:w="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84,251</w:t>
            </w: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44,892</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197,644</w:t>
            </w:r>
          </w:p>
        </w:tc>
        <w:tc>
          <w:tcPr>
            <w:tcW w:w="3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97,098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5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Non-GAAP diluted EPS</w:t>
            </w:r>
          </w:p>
        </w:tc>
        <w:tc>
          <w:tcPr>
            <w:tcW w:w="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1.84</w:t>
            </w: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0.98</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4.27</w:t>
            </w:r>
          </w:p>
        </w:tc>
        <w:tc>
          <w:tcPr>
            <w:tcW w:w="3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Non-GAAP weighted average common shares</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5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45,839</w:t>
            </w:r>
          </w:p>
        </w:tc>
        <w:tc>
          <w:tcPr>
            <w:tcW w:w="34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45,950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46,239</w:t>
            </w:r>
          </w:p>
        </w:tc>
        <w:tc>
          <w:tcPr>
            <w:tcW w:w="340" w:type="dxa"/>
            <w:vAlign w:val="bottom"/>
          </w:tcPr>
          <w:p>
            <w:pPr>
              <w:spacing w:after="0"/>
              <w:rPr>
                <w:sz w:val="24"/>
                <w:szCs w:val="24"/>
                <w:color w:val="auto"/>
              </w:rPr>
            </w:pPr>
          </w:p>
        </w:tc>
        <w:tc>
          <w:tcPr>
            <w:tcW w:w="114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45,768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outstanding - Diluted</w:t>
            </w: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2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ADJUSTED EBITDA</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GAAP net income attributable to Itron, Inc.</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77,959</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40,172</w:t>
            </w:r>
          </w:p>
        </w:tc>
        <w:tc>
          <w:tcPr>
            <w:tcW w:w="120" w:type="dxa"/>
            <w:vAlign w:val="bottom"/>
          </w:tcPr>
          <w:p>
            <w:pPr>
              <w:spacing w:after="0"/>
              <w:rPr>
                <w:sz w:val="23"/>
                <w:szCs w:val="23"/>
                <w:color w:val="auto"/>
              </w:rPr>
            </w:pP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180,998</w:t>
            </w:r>
          </w:p>
        </w:tc>
        <w:tc>
          <w:tcPr>
            <w:tcW w:w="34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52,537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Interest income</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(13,420)</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(2,642)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(22,394)</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(5,968)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Interest expense</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5,605</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2,445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9,788</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6,479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Income tax provision</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3,515</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15,388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32,124</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24,513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14,716</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13,645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40,979</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42,013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Restructuring</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(723)</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(624)</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36,868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Loss on sale of business</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698</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656</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675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Strategic initiative</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2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Acquisition and integration</w:t>
            </w: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248</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656</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Adjusted EBITDA</w:t>
            </w:r>
          </w:p>
        </w:tc>
        <w:tc>
          <w:tcPr>
            <w:tcW w:w="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88,598</w:t>
            </w: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68,461</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242,183</w:t>
            </w:r>
          </w:p>
        </w:tc>
        <w:tc>
          <w:tcPr>
            <w:tcW w:w="3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157,229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FREE CASH FLOW</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Net cash provided by operating activities</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65,301</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34,087</w:t>
            </w:r>
          </w:p>
        </w:tc>
        <w:tc>
          <w:tcPr>
            <w:tcW w:w="120" w:type="dxa"/>
            <w:vAlign w:val="bottom"/>
          </w:tcPr>
          <w:p>
            <w:pPr>
              <w:spacing w:after="0"/>
              <w:rPr>
                <w:sz w:val="23"/>
                <w:szCs w:val="23"/>
                <w:color w:val="auto"/>
              </w:rPr>
            </w:pP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158,326</w:t>
            </w:r>
          </w:p>
        </w:tc>
        <w:tc>
          <w:tcPr>
            <w:tcW w:w="34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77,076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2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Acquisitions of property, plant, and equipment</w:t>
            </w: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(6,623)</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(5,806)</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(20,878)</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(18,304)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Free Cash Flow</w:t>
            </w:r>
          </w:p>
        </w:tc>
        <w:tc>
          <w:tcPr>
            <w:tcW w:w="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58,678</w:t>
            </w: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28,281</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137,448</w:t>
            </w:r>
          </w:p>
        </w:tc>
        <w:tc>
          <w:tcPr>
            <w:tcW w:w="3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58,772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 w:right="339" w:bottom="90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737"/>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2024-10-31T07:39:15Z</dcterms:created>
  <dcterms:modified xsi:type="dcterms:W3CDTF">2024-10-31T07:39:15Z</dcterms:modified>
</cp:coreProperties>
</file>