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February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17145</wp:posOffset>
            </wp:positionV>
            <wp:extent cx="3944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4620" cy="17145"/>
                    </a:xfrm>
                    <a:prstGeom prst="rect">
                      <a:avLst/>
                    </a:prstGeom>
                    <a:noFill/>
                  </pic:spPr>
                </pic:pic>
              </a:graphicData>
            </a:graphic>
          </wp:anchor>
        </w:drawing>
      </w:r>
    </w:p>
    <w:p>
      <w:pPr>
        <w:spacing w:after="0" w:line="20"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10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9"/>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20"/>
                <w:szCs w:val="20"/>
                <w:color w:val="auto"/>
              </w:rPr>
            </w:pPr>
          </w:p>
        </w:tc>
      </w:tr>
      <w:tr>
        <w:trPr>
          <w:trHeight w:val="452"/>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20"/>
                <w:szCs w:val="20"/>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18, 2009, Itron, Inc. issued a press release announcing the financial results for the fourth quarter and year ended December 31, 2008. A copy of this press release and accompanying financial statements are attached as Exhibit 99.1.</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right="10160" w:firstLine="19"/>
        <w:spacing w:after="0" w:line="431" w:lineRule="auto"/>
        <w:tabs>
          <w:tab w:leader="none" w:pos="311"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Number</w:t>
      </w:r>
    </w:p>
    <w:p>
      <w:pPr>
        <w:ind w:left="170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ITRON, INC.</w:t>
            </w: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662"/>
        </w:trPr>
        <w:tc>
          <w:tcPr>
            <w:tcW w:w="3400" w:type="dxa"/>
            <w:vAlign w:val="bottom"/>
          </w:tcPr>
          <w:p>
            <w:pPr>
              <w:spacing w:after="0"/>
              <w:rPr>
                <w:sz w:val="20"/>
                <w:szCs w:val="20"/>
                <w:color w:val="auto"/>
              </w:rPr>
            </w:pPr>
            <w:r>
              <w:rPr>
                <w:rFonts w:ascii="Arial" w:cs="Arial" w:eastAsia="Arial" w:hAnsi="Arial"/>
                <w:sz w:val="18"/>
                <w:szCs w:val="18"/>
                <w:color w:val="auto"/>
              </w:rPr>
              <w:t>Dated: February 18, 2009</w:t>
            </w:r>
          </w:p>
        </w:tc>
        <w:tc>
          <w:tcPr>
            <w:tcW w:w="8020" w:type="dxa"/>
            <w:vAlign w:val="bottom"/>
            <w:gridSpan w:val="3"/>
          </w:tcPr>
          <w:p>
            <w:pPr>
              <w:ind w:left="80"/>
              <w:spacing w:after="0"/>
              <w:rPr>
                <w:sz w:val="20"/>
                <w:szCs w:val="20"/>
                <w:color w:val="auto"/>
              </w:rPr>
            </w:pPr>
            <w:r>
              <w:rPr>
                <w:rFonts w:ascii="Arial" w:cs="Arial" w:eastAsia="Arial" w:hAnsi="Arial"/>
                <w:sz w:val="18"/>
                <w:szCs w:val="18"/>
                <w:color w:val="auto"/>
              </w:rPr>
              <w:t>By: /s/ Steven M. Helmbrecht</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Steven M. Helmbrecht</w:t>
            </w:r>
          </w:p>
        </w:tc>
        <w:tc>
          <w:tcPr>
            <w:tcW w:w="8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57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w w:val="93"/>
              </w:rPr>
              <w:t>Sr. Vice President and Chief Financial Officer</w:t>
            </w: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902"/>
        </w:trPr>
        <w:tc>
          <w:tcPr>
            <w:tcW w:w="3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ANNOUNCES FOURTH QUARTER AND FULL YEAR RESULTS</w:t>
      </w:r>
    </w:p>
    <w:p>
      <w:pPr>
        <w:spacing w:after="0" w:line="256" w:lineRule="exact"/>
        <w:rPr>
          <w:sz w:val="20"/>
          <w:szCs w:val="20"/>
          <w:color w:val="auto"/>
        </w:rPr>
      </w:pPr>
    </w:p>
    <w:p>
      <w:pPr>
        <w:ind w:left="4140"/>
        <w:spacing w:after="0"/>
        <w:rPr>
          <w:sz w:val="20"/>
          <w:szCs w:val="20"/>
          <w:color w:val="auto"/>
        </w:rPr>
      </w:pPr>
      <w:r>
        <w:rPr>
          <w:rFonts w:ascii="Arial" w:cs="Arial" w:eastAsia="Arial" w:hAnsi="Arial"/>
          <w:sz w:val="18"/>
          <w:szCs w:val="18"/>
          <w:b w:val="1"/>
          <w:bCs w:val="1"/>
          <w:i w:val="1"/>
          <w:iCs w:val="1"/>
          <w:color w:val="auto"/>
        </w:rPr>
        <w:t>Record Full Year Revenue of $1.91 Billion</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b w:val="1"/>
          <w:bCs w:val="1"/>
          <w:i w:val="1"/>
          <w:iCs w:val="1"/>
          <w:color w:val="auto"/>
        </w:rPr>
        <w:t>Record Full Year Bookings of $2.5 Billion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i w:val="1"/>
          <w:iCs w:val="1"/>
          <w:color w:val="auto"/>
        </w:rPr>
        <w:t>Record Full Year Non-GAAP Diluted EPS of $3.36</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LIBERTY LAKE, Wash. — February 18, 2009 — Itron, Inc. (NASDAQ:ITRI) today reported financial results for its fourth quarter and full year ended December 31, 2008. Financial results for the full year ended December 31, 2008 include Actaris operations for twelve months while results for the same period in 2007 only include Actaris operations from April 18, 2007. Highlights of the quarter and full year ended December 31, 2008 include:</w:t>
      </w:r>
    </w:p>
    <w:p>
      <w:pPr>
        <w:spacing w:after="0" w:line="193"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and full year revenues of $432 million and $1.91 billion;</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and full year non-GAAP diluted EPS of 71 cents and $3.36;</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year cash flow from operations and free cash flow of $193 million and $130 million;</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and full year Adjusted EBITDA of $60 million and $281 million;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and full year bookings of $733 million and $2.5 billion.</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we communicated in January, our fourth quarter revenues and earnings were not as strong as they were in the first nine months,” said LeRoy Nosbaum, chairman and CEO. “Although year-end spending from our customers was lower in the fourth quarter than we had hoped, we still had a very strong 2008 and set records for revenue, non-GAAP EPS and bookings.”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Highlights – Fourth Quarter:</w:t>
      </w:r>
    </w:p>
    <w:p>
      <w:pPr>
        <w:spacing w:after="0" w:line="27" w:lineRule="exact"/>
        <w:rPr>
          <w:sz w:val="20"/>
          <w:szCs w:val="20"/>
          <w:color w:val="auto"/>
        </w:rPr>
      </w:pPr>
    </w:p>
    <w:p>
      <w:pPr>
        <w:jc w:val="both"/>
        <w:ind w:left="340" w:right="320"/>
        <w:spacing w:after="0" w:line="292"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 Total revenues of $432 million for the fourth quarter of 2008 were $48 million, or 10%, lower than 2007 fourth quarter revenues of $481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Itron North America (INA) revenues of $153 million for the fourth quarter of 2008 were $14 million, or 8%, lower than the fourth quarter of 2007, primarily due to lower year-end spending in the US. Actaris revenues of $279 million for the fourth quarter of 2008 were $34 million, or 11%, lower than the fourth quarter of 2007. 2008 Actaris revenue was negatively affected by foreign exchange rates which accounted for the entire decrease. Revenues for the electric, gas and water business units were approximately 38%, 35% and 27% of total Actaris revenue.</w:t>
      </w:r>
    </w:p>
    <w:p>
      <w:pPr>
        <w:spacing w:after="0" w:line="190" w:lineRule="exact"/>
        <w:rPr>
          <w:sz w:val="20"/>
          <w:szCs w:val="20"/>
          <w:color w:val="auto"/>
        </w:rPr>
      </w:pPr>
    </w:p>
    <w:p>
      <w:pPr>
        <w:jc w:val="both"/>
        <w:ind w:left="340" w:right="340"/>
        <w:spacing w:after="0" w:line="286"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 Gross margin for the fourth quarter of 2008 was 34%, which is higher than the 33% in the fourth quarter of 2007. Fourth 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2008 INA gross margin of 39% was lower than 2007 gross margin of 40% due primarily to product mix. Actaris gross margin of 30% was higher than the fourth quarter 2007 gross margin of 28% due primarily to increased revenue in regions with higher margins.</w:t>
      </w:r>
    </w:p>
    <w:p>
      <w:pPr>
        <w:spacing w:after="0" w:line="193" w:lineRule="exact"/>
        <w:rPr>
          <w:sz w:val="20"/>
          <w:szCs w:val="20"/>
          <w:color w:val="auto"/>
        </w:rPr>
      </w:pPr>
    </w:p>
    <w:p>
      <w:pPr>
        <w:jc w:val="both"/>
        <w:ind w:left="340" w:right="340"/>
        <w:spacing w:after="0" w:line="293"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 Total operating expenses for the fourth quarter of 2008 were $124 million, which was comparable with the fourth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INA operating expenses were $41 million, or 27% of revenue, compared with $44 million, or 26% of revenue, in the fourth quarter of 2007. Actaris operating expenses of $76 million were 27% of revenue, compared with $73 million, or 23% of revenue, in 2007. Actaris operating expenses were higher in all areas due to: increased sales expense; higher spending on product development; higher amortization of intangibles assets; increased personnel costs; and expenses related to Sarbanes-Oxley compliance. Corporate unallocated expenses of $7 million for the fourth quarter of 2008 were $1 million lower than the fourth quarter of 2007 due primarily to decreased compensation expenses.</w:t>
      </w:r>
    </w:p>
    <w:p>
      <w:pPr>
        <w:spacing w:after="0" w:line="192" w:lineRule="exact"/>
        <w:rPr>
          <w:sz w:val="20"/>
          <w:szCs w:val="20"/>
          <w:color w:val="auto"/>
        </w:rPr>
      </w:pPr>
    </w:p>
    <w:p>
      <w:pPr>
        <w:jc w:val="both"/>
        <w:ind w:left="340" w:right="340"/>
        <w:spacing w:after="0" w:line="257" w:lineRule="auto"/>
        <w:rPr>
          <w:sz w:val="20"/>
          <w:szCs w:val="20"/>
          <w:color w:val="auto"/>
        </w:rPr>
      </w:pPr>
      <w:r>
        <w:rPr>
          <w:rFonts w:ascii="Arial" w:cs="Arial" w:eastAsia="Arial" w:hAnsi="Arial"/>
          <w:sz w:val="18"/>
          <w:szCs w:val="18"/>
          <w:b w:val="1"/>
          <w:bCs w:val="1"/>
          <w:i w:val="1"/>
          <w:iCs w:val="1"/>
          <w:color w:val="auto"/>
        </w:rPr>
        <w:t xml:space="preserve">Interest and Other Income (Loss) </w:t>
      </w:r>
      <w:r>
        <w:rPr>
          <w:rFonts w:ascii="Arial" w:cs="Arial" w:eastAsia="Arial" w:hAnsi="Arial"/>
          <w:sz w:val="18"/>
          <w:szCs w:val="18"/>
          <w:color w:val="auto"/>
        </w:rPr>
        <w:t>– Net interest expense of $14 million in the fourth quarter of 2008 was substantially lower than $25 million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 the fourth quarter of 2007 due to lower average debt balances and lower average interest rates. Debt fee amortization expense, which is included in net interest expense, of $1.3 million in the fourth quarter of 2008 was lower than the fourth quarter of 2007. Other expense of $1 million in 2008 compares with $5.6 million in 2007. Other expense in 2007 was comprised primarily of unrealized foreign exchange losses on working capital accounts including intercompany interest balances.</w:t>
      </w:r>
    </w:p>
    <w:p>
      <w:pPr>
        <w:spacing w:after="0" w:line="215" w:lineRule="exact"/>
        <w:rPr>
          <w:sz w:val="20"/>
          <w:szCs w:val="20"/>
          <w:color w:val="auto"/>
        </w:rPr>
      </w:pPr>
    </w:p>
    <w:p>
      <w:pPr>
        <w:jc w:val="both"/>
        <w:ind w:left="340" w:right="3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Our GAAP tax rate was 25% for the fourth quarter of 2008. The fourth quarter of 2007 included a $3.2 million GAAP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The benefit in 2007 was primarily driven by a one-time benefit for acquisition-related tax planning for Actaris and a tax benefit related to our investment in Brazilian operations.</w:t>
      </w:r>
    </w:p>
    <w:p>
      <w:pPr>
        <w:spacing w:after="0" w:line="208" w:lineRule="exact"/>
        <w:rPr>
          <w:sz w:val="20"/>
          <w:szCs w:val="20"/>
          <w:color w:val="auto"/>
        </w:rPr>
      </w:pPr>
    </w:p>
    <w:p>
      <w:pPr>
        <w:jc w:val="both"/>
        <w:ind w:left="340" w:right="340"/>
        <w:spacing w:after="0" w:line="277" w:lineRule="auto"/>
        <w:rPr>
          <w:sz w:val="20"/>
          <w:szCs w:val="20"/>
          <w:color w:val="auto"/>
        </w:rPr>
      </w:pPr>
      <w:r>
        <w:rPr>
          <w:rFonts w:ascii="Arial" w:cs="Arial" w:eastAsia="Arial" w:hAnsi="Arial"/>
          <w:sz w:val="18"/>
          <w:szCs w:val="18"/>
          <w:b w:val="1"/>
          <w:bCs w:val="1"/>
          <w:i w:val="1"/>
          <w:iCs w:val="1"/>
          <w:color w:val="auto"/>
        </w:rPr>
        <w:t xml:space="preserve">GAAP Net Income/Loss and EPS </w:t>
      </w:r>
      <w:r>
        <w:rPr>
          <w:rFonts w:ascii="Arial" w:cs="Arial" w:eastAsia="Arial" w:hAnsi="Arial"/>
          <w:sz w:val="18"/>
          <w:szCs w:val="18"/>
          <w:color w:val="auto"/>
        </w:rPr>
        <w:t>– Our GAAP net income and fully diluted EPS for the fourth quarter of 2008 was $4.3 million, or 12 cents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compared with $4.0 million, or 12 cents per share, in the same period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ind w:left="340"/>
        <w:spacing w:after="0" w:line="272" w:lineRule="auto"/>
        <w:rPr>
          <w:sz w:val="20"/>
          <w:szCs w:val="20"/>
          <w:color w:val="auto"/>
        </w:rPr>
      </w:pPr>
      <w:r>
        <w:rPr>
          <w:rFonts w:ascii="Arial" w:cs="Arial" w:eastAsia="Arial" w:hAnsi="Arial"/>
          <w:sz w:val="17"/>
          <w:szCs w:val="17"/>
          <w:b w:val="1"/>
          <w:bCs w:val="1"/>
          <w:i w:val="1"/>
          <w:iCs w:val="1"/>
          <w:color w:val="auto"/>
        </w:rPr>
        <w:t xml:space="preserve">Non-GAAP Operating Income, Net Income and Diluted EPS </w:t>
      </w:r>
      <w:r>
        <w:rPr>
          <w:rFonts w:ascii="Arial" w:cs="Arial" w:eastAsia="Arial" w:hAnsi="Arial"/>
          <w:sz w:val="17"/>
          <w:szCs w:val="17"/>
          <w:color w:val="auto"/>
        </w:rPr>
        <w:t>– Non-GAAP operating income, which excludes amortization expense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intangible assets, was $48 million, or 11.2% of revenues, in the fourth quarter of 2008, compared with $58 million, or 12.0% of revenues, in the fourth quarter of 2007. Non-GAAP net income, which also excludes amortization of debt fees, was $25 million in 2008, compared with $26 million in the 2007 period. Non-GAAP diluted EPS was 71 cents in the 2008 period compared with 81 cents in 2007. Fully diluted shares outstanding in the fourth quarter of 2008 were 2 million shares higher than the same period in 2007 due primarily to the equity offering of 3.4 million shares in the second quarter of 2008. Our non-GAAP tax rates were 27% and 6% for the fourth quarters of 2008 and 2007. The lower 2007 rate was primarily due to the tax benefit related to our investment in Brazilian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Highlights – Full Year:</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Total revenues of $1.9 billion for the full year ended December 31, 2008 were $446 million, or 30%, higher than 2007 full year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$1.5 billion. INA revenues of $628 million for full year 2008 were $35 million, or 6%, higher than the comparable period in 2007. Actaris revenues were $1.3 billion for the full year 2008 compared with $871 million in the same period of 2007. Actaris revenues for 2008 benefitted from favorable foreign exchange rates as well as including a full twelve months of revenue. Revenues for the electric, gas and water business units were approximately 38%, 33% and 29% of total Actaris revenue for 2008.</w:t>
      </w:r>
    </w:p>
    <w:p>
      <w:pPr>
        <w:spacing w:after="0" w:line="218"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 Gross margin for the full year 2008 was 34%, which was comparable with 33% gross margin in 2007. INA gross margin of 39%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full year 2008 was less than 2007 gross margin of 42% due to product mix and increased services costs. Actaris gross margin of 31% was higher than the full year 2007 gross margin of 28%. Actaris gross margin in 2007 was negatively affected by acquisition related charges.</w:t>
      </w:r>
    </w:p>
    <w:p>
      <w:pPr>
        <w:spacing w:after="0" w:line="17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 Total operating expenses for the full year 2008 were $537 million, compared with $441 million, for the full year 2007. INA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of $171 million in 2008 were somewhat lower than full year 2007 operating expenses of $173 million. As a percentage of revenue, 2008 INA operating expenses were 27% compared with 29% in 2007. Actaris operating expenses of $329 million were 26% of revenue, compared with $236 million, or 27% of revenue, for the full year 2007. The increased Actaris 2008 operating expenses were affected by foreign currency exchange rates and the inclusion of a full year expense as 2007 only included expenses from the date of the acquisition. Corporate unallocated expenses of $38 million for the full year 2008 were $5.6 million higher than 2007 due in part to increased compensation, financial integration and consulting expenses.</w:t>
      </w:r>
    </w:p>
    <w:p>
      <w:pPr>
        <w:spacing w:after="0" w:line="2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Income (Loss) </w:t>
      </w:r>
      <w:r>
        <w:rPr>
          <w:rFonts w:ascii="Arial" w:cs="Arial" w:eastAsia="Arial" w:hAnsi="Arial"/>
          <w:sz w:val="18"/>
          <w:szCs w:val="18"/>
          <w:color w:val="auto"/>
        </w:rPr>
        <w:t>– Net interest expense was $75 million for the full year 2008 compared to $79 million in the same period of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in net interest expense was due to lower average interest rates. Debt fee amortization expense, which is included in net interest expense, was $8.9 million for the full year 2008 compared with $13.5 million in 2007. 2008 included other losses of $3 million compared with other income of $435,000 in 2007.</w:t>
      </w: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Our GAAP tax rate was 12.5% for the full year 2008. Full year 2007 included a $16.4 million GAAP income tax benefit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pre-tax GAAP loss, legislative reductions in tax rates in France, Germany and the United Kingdom and tax benefits for acquisition-related tax planning for Actaris and the investment in our Brazilian operations.</w:t>
      </w:r>
    </w:p>
    <w:p>
      <w:pPr>
        <w:spacing w:after="0" w:line="20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GAAP Net Income/Loss and EPS </w:t>
      </w:r>
      <w:r>
        <w:rPr>
          <w:rFonts w:ascii="Arial" w:cs="Arial" w:eastAsia="Arial" w:hAnsi="Arial"/>
          <w:sz w:val="18"/>
          <w:szCs w:val="18"/>
          <w:color w:val="auto"/>
        </w:rPr>
        <w:t>– Our GAAP net income and fully diluted EPS for the full year 2008 was $28.1 million, or 80 cents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with a net loss of $16.1 million, or 55 cents per share, in the same period in 2007.</w:t>
      </w:r>
    </w:p>
    <w:p>
      <w:pPr>
        <w:spacing w:after="0" w:line="19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b w:val="1"/>
          <w:bCs w:val="1"/>
          <w:i w:val="1"/>
          <w:iCs w:val="1"/>
          <w:color w:val="auto"/>
        </w:rPr>
        <w:t xml:space="preserve">Non-GAAP Operating Income, Net Income and Diluted EPS </w:t>
      </w:r>
      <w:r>
        <w:rPr>
          <w:rFonts w:ascii="Arial" w:cs="Arial" w:eastAsia="Arial" w:hAnsi="Arial"/>
          <w:sz w:val="17"/>
          <w:szCs w:val="17"/>
          <w:color w:val="auto"/>
        </w:rPr>
        <w:t>– Non-GAAP operating income, which excludes amortization expense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intangible assets, was $230 million, or 12.1% of revenues, for the full year 2008, compared with $182 million, or 12.5% of revenues, for the full year 2007. Non-GAAP operating income in 2007 excluded acquisition related charges for In Process Research &amp; Development (IPR&amp;D) and inventory of $52 million in addition to amortization of intangible assets. Non-GAAP net income, which also excludes amortization of debt fees, was $117.6 million in 2008 compared with $87.3 million in the 2007 period. Non-GAAP diluted EPS was $3.36 in the 2008 period compared with $2.81 in 2007. Diluted shares outstanding for the full year 2008 were almost 4 million higher than the same period in 2007 due primarily to the equity offering of 3.4 million shares in the second quarter of 2008. Non-GAAP net income and diluted EPS in 2008 benefitted from results for the entire year for Actaris rather than a partial year in 2007. Our non-GAAP tax rates were 27% and 25% for 2008 and 2007.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Highlights:</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b w:val="1"/>
          <w:bCs w:val="1"/>
          <w:i w:val="1"/>
          <w:iCs w:val="1"/>
          <w:color w:val="auto"/>
        </w:rPr>
        <w:t xml:space="preserve">New Order Bookings and Backlog </w:t>
      </w:r>
      <w:r>
        <w:rPr>
          <w:rFonts w:ascii="Arial" w:cs="Arial" w:eastAsia="Arial" w:hAnsi="Arial"/>
          <w:sz w:val="16"/>
          <w:szCs w:val="16"/>
          <w:color w:val="auto"/>
        </w:rPr>
        <w:t>- New order bookings for the full year 2008 were $2.5 billion, compared with $1.4 billion in 2007, reflecting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book-to-bill ratios of 1.3 to 1 and .97 to 1 respectively. New order bookings for 2008 included $480 million related to our Advanced Metering Infrastructure (AMI) contract with Southern California Edison (SCE) and $334 million related to our contract with CenterPoint Energy. The California Public Utility Commission and the Public Utility Commission of Texas approved the respective projects in 2008, which allowed us to book the contract values in our backlog. Total backlog was $1.3 billion at December 31, 2008 compared with $659 million at December 31, 2007. Twelve month backlog of $507 million at December 31, 2008 compares with twelve month backlog at December 31, 2007 of $501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6" w:name="page7"/>
    <w:bookmarkEnd w:id="6"/>
    <w:p>
      <w:pPr>
        <w:jc w:val="both"/>
        <w:ind w:left="340" w:right="320"/>
        <w:spacing w:after="0" w:line="297" w:lineRule="auto"/>
        <w:rPr>
          <w:sz w:val="20"/>
          <w:szCs w:val="20"/>
          <w:color w:val="auto"/>
        </w:rPr>
      </w:pPr>
      <w:r>
        <w:rPr>
          <w:rFonts w:ascii="Arial" w:cs="Arial" w:eastAsia="Arial" w:hAnsi="Arial"/>
          <w:sz w:val="16"/>
          <w:szCs w:val="16"/>
          <w:b w:val="1"/>
          <w:bCs w:val="1"/>
          <w:i w:val="1"/>
          <w:iCs w:val="1"/>
          <w:color w:val="auto"/>
        </w:rPr>
        <w:t xml:space="preserve">Cash Flows from Operations and Financial Condition </w:t>
      </w:r>
      <w:r>
        <w:rPr>
          <w:rFonts w:ascii="Arial" w:cs="Arial" w:eastAsia="Arial" w:hAnsi="Arial"/>
          <w:sz w:val="16"/>
          <w:szCs w:val="16"/>
          <w:color w:val="auto"/>
        </w:rPr>
        <w:t>– Net cash provided by operating activities during the full year 2008 was $193 million.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compares with $133 million in the same period in 2007. Adjusted earnings before interest, taxes, depreciation and amortization (Adjusted EBITDA) in the fourth quarter of 2008 was $60 million compared with $67 million for the same period in 2007. Adjusted EBITDA for the full year 2008 was $281 million compared with $225 million for the full year 2007. Free cash flow for the full year 2008 was $130 million compared with $93 million for the same period in 2007. Cash and equivalents were $144 million at December 31, 2008 compared with $92 million at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which are more fully described in our Annual Report on Form 10-K for the year ended December 31, 2007 and other reports on file with the Securities and Exchange Commission. Itron undertakes no obligation to update publicly or revise any forward-looking statements, including our business outlook.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outlook information provided below and elsewhere in this release is based on information available today. Itron assumes no obligation to publicly update or revise our business outlook. Our future performance involves risks and uncertainties.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2009, we expect:</w:t>
      </w:r>
    </w:p>
    <w:p>
      <w:pPr>
        <w:spacing w:after="0" w:line="252"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between $1.78 billion and $1.88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non-GAAP EPS of between $3.35 and $3.75;</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between $270 million and $290 million;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revenue between $385 million and $415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our consolidated financial statements presented in accordance with GAAP, we use certain non-GAAP financial measures, including non-GAAP operating income, non-GAAP net income and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associated with acquisitions. We exclude these expenses in our non-GAAP financial measures as we believe that they are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Earnings Conference Call: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Itron will host a conference call to discuss the financial results contained in this release at 2:00 p.m. (PDT) on February 18, 2009. The call will be webcast in a listen only mode and can be accessed online at </w:t>
      </w:r>
      <w:r>
        <w:rPr>
          <w:rFonts w:ascii="Arial" w:cs="Arial" w:eastAsia="Arial" w:hAnsi="Arial"/>
          <w:sz w:val="18"/>
          <w:szCs w:val="18"/>
          <w:b w:val="1"/>
          <w:bCs w:val="1"/>
          <w:u w:val="single" w:color="auto"/>
          <w:color w:val="auto"/>
        </w:rPr>
        <w:t>www.itron.com,</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 – Presentations</w:t>
      </w:r>
      <w:r>
        <w:rPr>
          <w:rFonts w:ascii="Arial" w:cs="Arial" w:eastAsia="Arial" w:hAnsi="Arial"/>
          <w:sz w:val="18"/>
          <w:szCs w:val="18"/>
          <w:color w:val="auto"/>
        </w:rPr>
        <w:t xml:space="preserve">.” The live webcast will begin at 2:00 p.m. (PDT).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18"/>
          <w:szCs w:val="18"/>
          <w:b w:val="1"/>
          <w:bCs w:val="1"/>
          <w:color w:val="auto"/>
        </w:rPr>
        <w:t>(888) 203-1112 (Domestic)</w:t>
      </w:r>
      <w:r>
        <w:rPr>
          <w:rFonts w:ascii="Arial" w:cs="Arial" w:eastAsia="Arial" w:hAnsi="Arial"/>
          <w:sz w:val="18"/>
          <w:szCs w:val="18"/>
          <w:color w:val="auto"/>
        </w:rPr>
        <w:t xml:space="preserve"> or </w:t>
      </w:r>
      <w:r>
        <w:rPr>
          <w:rFonts w:ascii="Arial" w:cs="Arial" w:eastAsia="Arial" w:hAnsi="Arial"/>
          <w:sz w:val="18"/>
          <w:szCs w:val="18"/>
          <w:b w:val="1"/>
          <w:bCs w:val="1"/>
          <w:color w:val="auto"/>
        </w:rPr>
        <w:t>(719) 457-0820 (International)</w:t>
      </w:r>
      <w:r>
        <w:rPr>
          <w:rFonts w:ascii="Arial" w:cs="Arial" w:eastAsia="Arial" w:hAnsi="Arial"/>
          <w:sz w:val="18"/>
          <w:szCs w:val="18"/>
          <w:color w:val="auto"/>
        </w:rPr>
        <w:t xml:space="preserve">, entering passcode </w:t>
      </w:r>
      <w:r>
        <w:rPr>
          <w:rFonts w:ascii="Arial" w:cs="Arial" w:eastAsia="Arial" w:hAnsi="Arial"/>
          <w:sz w:val="18"/>
          <w:szCs w:val="18"/>
          <w:b w:val="1"/>
          <w:bCs w:val="1"/>
          <w:color w:val="auto"/>
        </w:rPr>
        <w:t>#5350842.</w:t>
      </w:r>
      <w:r>
        <w:rPr>
          <w:rFonts w:ascii="Arial" w:cs="Arial" w:eastAsia="Arial" w:hAnsi="Arial"/>
          <w:sz w:val="18"/>
          <w:szCs w:val="18"/>
          <w:color w:val="auto"/>
        </w:rPr>
        <w:t xml:space="preserve"> You may also view presentation materials related to the earnings call on Itron’s website,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 Investors / Presentations</w:t>
      </w:r>
      <w:r>
        <w:rPr>
          <w:rFonts w:ascii="Arial" w:cs="Arial" w:eastAsia="Arial" w:hAnsi="Arial"/>
          <w:sz w:val="18"/>
          <w:szCs w:val="18"/>
          <w:b w:val="1"/>
          <w:bCs w:val="1"/>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Itron is a leading technology provider and critical source of knowledge to the global energy and water industries. Itron operates in two divisions: as Itron in North America and as Actaris outside of North America. Our company is the world’s leading provider of metering, data collection and software solutions, with nearly 8,000 utilities worldwide relying on our technology to optimize the delivery and use of energy and water. Itron delivers industry leading solutions for electric, gas and water utilities by offering meters; data collection and communication systems, including automated meter reading (AMR) and advanced metering infrastructure (AMI); meter data management and utility software applications; as well as comprehensive project management, installation and consulting services. To know more, start here: </w:t>
      </w:r>
      <w:r>
        <w:rPr>
          <w:rFonts w:ascii="Arial" w:cs="Arial" w:eastAsia="Arial" w:hAnsi="Arial"/>
          <w:sz w:val="18"/>
          <w:szCs w:val="18"/>
          <w:u w:val="single" w:color="auto"/>
          <w:color w:val="auto"/>
        </w:rPr>
        <w:t>www.itron.com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Deloris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Corporate Communications</w:t>
      </w:r>
    </w:p>
    <w:p>
      <w:pPr>
        <w:spacing w:after="0" w:line="9" w:lineRule="exact"/>
        <w:rPr>
          <w:sz w:val="20"/>
          <w:szCs w:val="20"/>
          <w:color w:val="auto"/>
        </w:rPr>
      </w:pPr>
    </w:p>
    <w:p>
      <w:pPr>
        <w:ind w:right="940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891-3523 deloris.duquette@itron.com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20" w:type="dxa"/>
            <w:vAlign w:val="bottom"/>
          </w:tcPr>
          <w:p>
            <w:pPr>
              <w:spacing w:after="0"/>
              <w:rPr>
                <w:sz w:val="20"/>
                <w:szCs w:val="20"/>
                <w:color w:val="auto"/>
              </w:rPr>
            </w:pPr>
          </w:p>
        </w:tc>
        <w:tc>
          <w:tcPr>
            <w:tcW w:w="3060" w:type="dxa"/>
            <w:vAlign w:val="bottom"/>
            <w:gridSpan w:val="8"/>
            <w:vMerge w:val="restart"/>
          </w:tcPr>
          <w:p>
            <w:pPr>
              <w:jc w:val="right"/>
              <w:ind w:right="300"/>
              <w:spacing w:after="0"/>
              <w:rPr>
                <w:sz w:val="20"/>
                <w:szCs w:val="20"/>
                <w:color w:val="auto"/>
              </w:rPr>
            </w:pPr>
            <w:r>
              <w:rPr>
                <w:rFonts w:ascii="Arial" w:cs="Arial" w:eastAsia="Arial" w:hAnsi="Arial"/>
                <w:sz w:val="18"/>
                <w:szCs w:val="18"/>
                <w:b w:val="1"/>
                <w:bCs w:val="1"/>
                <w:color w:val="auto"/>
                <w:w w:val="91"/>
              </w:rPr>
              <w:t>Three Months Ended December 31,</w:t>
            </w:r>
          </w:p>
        </w:tc>
        <w:tc>
          <w:tcPr>
            <w:tcW w:w="3000" w:type="dxa"/>
            <w:vAlign w:val="bottom"/>
            <w:gridSpan w:val="6"/>
            <w:vMerge w:val="restart"/>
          </w:tcPr>
          <w:p>
            <w:pPr>
              <w:jc w:val="right"/>
              <w:ind w:right="160"/>
              <w:spacing w:after="0"/>
              <w:rPr>
                <w:sz w:val="20"/>
                <w:szCs w:val="20"/>
                <w:color w:val="auto"/>
              </w:rPr>
            </w:pPr>
            <w:r>
              <w:rPr>
                <w:rFonts w:ascii="Arial" w:cs="Arial" w:eastAsia="Arial" w:hAnsi="Arial"/>
                <w:sz w:val="18"/>
                <w:szCs w:val="18"/>
                <w:b w:val="1"/>
                <w:bCs w:val="1"/>
                <w:color w:val="auto"/>
                <w:w w:val="90"/>
              </w:rPr>
              <w:t>Twelve Months Ended December 31,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gridSpan w:val="8"/>
            <w:vMerge w:val="continue"/>
          </w:tcPr>
          <w:p>
            <w:pPr>
              <w:spacing w:after="0"/>
              <w:rPr>
                <w:sz w:val="19"/>
                <w:szCs w:val="19"/>
                <w:color w:val="auto"/>
              </w:rPr>
            </w:pPr>
          </w:p>
        </w:tc>
        <w:tc>
          <w:tcPr>
            <w:tcW w:w="30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432,388</w:t>
            </w:r>
          </w:p>
        </w:tc>
        <w:tc>
          <w:tcPr>
            <w:tcW w:w="140" w:type="dxa"/>
            <w:vAlign w:val="bottom"/>
          </w:tcPr>
          <w:p>
            <w:pPr>
              <w:spacing w:after="0"/>
              <w:rPr>
                <w:sz w:val="24"/>
                <w:szCs w:val="24"/>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480,544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1,909,613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1,464,048</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287,260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324,106</w:t>
            </w: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1,262,756</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976,761</w:t>
            </w:r>
          </w:p>
        </w:tc>
        <w:tc>
          <w:tcPr>
            <w:tcW w:w="0" w:type="dxa"/>
            <w:vAlign w:val="bottom"/>
          </w:tcPr>
          <w:p>
            <w:pPr>
              <w:spacing w:after="0"/>
              <w:rPr>
                <w:sz w:val="1"/>
                <w:szCs w:val="1"/>
                <w:color w:val="auto"/>
              </w:rPr>
            </w:pPr>
          </w:p>
        </w:tc>
      </w:tr>
      <w:tr>
        <w:trPr>
          <w:trHeight w:val="202"/>
        </w:trPr>
        <w:tc>
          <w:tcPr>
            <w:tcW w:w="534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145,128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156,438</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646,857</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487,287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40,852</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167,457</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125,842</w:t>
            </w: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27,089</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120,699</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94,926</w:t>
            </w: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30,937</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128,515</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100,071</w:t>
            </w: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25,873</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120,364</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23"/>
        </w:trPr>
        <w:tc>
          <w:tcPr>
            <w:tcW w:w="534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124,906</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537,035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21,024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31,532</w:t>
            </w:r>
          </w:p>
        </w:tc>
        <w:tc>
          <w:tcPr>
            <w:tcW w:w="2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109,822</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46,473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1,587</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5,970</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(15,368)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(26,689)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(80,735)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(89,965)</w:t>
            </w: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(5,633)</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(2,984)</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5340" w:type="dxa"/>
            <w:vAlign w:val="bottom"/>
          </w:tcPr>
          <w:p>
            <w:pPr>
              <w:ind w:left="920"/>
              <w:spacing w:after="0"/>
              <w:rPr>
                <w:sz w:val="20"/>
                <w:szCs w:val="20"/>
                <w:color w:val="auto"/>
              </w:rPr>
            </w:pPr>
            <w:r>
              <w:rPr>
                <w:rFonts w:ascii="Arial" w:cs="Arial" w:eastAsia="Arial" w:hAnsi="Arial"/>
                <w:sz w:val="18"/>
                <w:szCs w:val="18"/>
                <w:color w:val="auto"/>
              </w:rPr>
              <w:t>Total other income (expense)</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(77,749)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797</w:t>
            </w:r>
          </w:p>
        </w:tc>
        <w:tc>
          <w:tcPr>
            <w:tcW w:w="2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32,073</w:t>
            </w:r>
          </w:p>
        </w:tc>
        <w:tc>
          <w:tcPr>
            <w:tcW w:w="2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(32,580)</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3,205</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4,306</w:t>
            </w:r>
          </w:p>
        </w:tc>
        <w:tc>
          <w:tcPr>
            <w:tcW w:w="140" w:type="dxa"/>
            <w:vAlign w:val="bottom"/>
          </w:tcPr>
          <w:p>
            <w:pPr>
              <w:spacing w:after="0"/>
              <w:rPr>
                <w:sz w:val="24"/>
                <w:szCs w:val="24"/>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28,059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Arial" w:cs="Arial" w:eastAsia="Arial" w:hAnsi="Arial"/>
                <w:sz w:val="18"/>
                <w:szCs w:val="18"/>
                <w:color w:val="auto"/>
              </w:rPr>
              <w:t>Earnings (loss) per common share</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46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0.85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
        </w:trPr>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4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4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4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30,608</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33,096</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230"/>
        </w:trPr>
        <w:tc>
          <w:tcPr>
            <w:tcW w:w="5340" w:type="dxa"/>
            <w:vAlign w:val="bottom"/>
          </w:tcPr>
          <w:p>
            <w:pPr>
              <w:ind w:left="4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34,823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32,725</w:t>
            </w:r>
          </w:p>
        </w:tc>
        <w:tc>
          <w:tcPr>
            <w:tcW w:w="2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34,951</w:t>
            </w:r>
          </w:p>
        </w:tc>
        <w:tc>
          <w:tcPr>
            <w:tcW w:w="2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29,584</w:t>
            </w:r>
          </w:p>
        </w:tc>
        <w:tc>
          <w:tcPr>
            <w:tcW w:w="0" w:type="dxa"/>
            <w:vAlign w:val="bottom"/>
          </w:tcPr>
          <w:p>
            <w:pPr>
              <w:spacing w:after="0"/>
              <w:rPr>
                <w:sz w:val="1"/>
                <w:szCs w:val="1"/>
                <w:color w:val="auto"/>
              </w:rPr>
            </w:pPr>
          </w:p>
        </w:tc>
      </w:tr>
      <w:tr>
        <w:trPr>
          <w:trHeight w:val="659"/>
        </w:trPr>
        <w:tc>
          <w:tcPr>
            <w:tcW w:w="5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ind w:right="16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SEGMENT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(Unaudited, in thousands)</w:t>
            </w:r>
          </w:p>
        </w:tc>
        <w:tc>
          <w:tcPr>
            <w:tcW w:w="3820" w:type="dxa"/>
            <w:vAlign w:val="bottom"/>
            <w:gridSpan w:val="7"/>
            <w:vMerge w:val="restart"/>
          </w:tcPr>
          <w:p>
            <w:pPr>
              <w:jc w:val="right"/>
              <w:ind w:right="640"/>
              <w:spacing w:after="0"/>
              <w:rPr>
                <w:sz w:val="20"/>
                <w:szCs w:val="20"/>
                <w:color w:val="auto"/>
              </w:rPr>
            </w:pPr>
            <w:r>
              <w:rPr>
                <w:rFonts w:ascii="Arial" w:cs="Arial" w:eastAsia="Arial" w:hAnsi="Arial"/>
                <w:sz w:val="18"/>
                <w:szCs w:val="18"/>
                <w:b w:val="1"/>
                <w:bCs w:val="1"/>
                <w:color w:val="auto"/>
              </w:rPr>
              <w:t>Three Months Ended December 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gridSpan w:val="6"/>
            <w:vMerge w:val="restart"/>
          </w:tcPr>
          <w:p>
            <w:pPr>
              <w:jc w:val="right"/>
              <w:ind w:right="500"/>
              <w:spacing w:after="0"/>
              <w:rPr>
                <w:sz w:val="20"/>
                <w:szCs w:val="20"/>
                <w:color w:val="auto"/>
              </w:rPr>
            </w:pPr>
            <w:r>
              <w:rPr>
                <w:rFonts w:ascii="Arial" w:cs="Arial" w:eastAsia="Arial" w:hAnsi="Arial"/>
                <w:sz w:val="18"/>
                <w:szCs w:val="18"/>
                <w:b w:val="1"/>
                <w:bCs w:val="1"/>
                <w:color w:val="auto"/>
                <w:w w:val="95"/>
              </w:rPr>
              <w:t>Twelve Months Ended December 31,</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82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b w:val="1"/>
                <w:bCs w:val="1"/>
                <w:color w:val="auto"/>
              </w:rPr>
              <w:t>Revenues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Itron North America</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153,291</w:t>
            </w:r>
          </w:p>
        </w:tc>
        <w:tc>
          <w:tcPr>
            <w:tcW w:w="180" w:type="dxa"/>
            <w:vAlign w:val="bottom"/>
          </w:tcPr>
          <w:p>
            <w:pPr>
              <w:spacing w:after="0"/>
              <w:rPr>
                <w:sz w:val="18"/>
                <w:szCs w:val="18"/>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167,152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628,247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593,526</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Actaris</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279,097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313,392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1,281,366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870,522</w:t>
            </w:r>
          </w:p>
        </w:tc>
        <w:tc>
          <w:tcPr>
            <w:tcW w:w="0" w:type="dxa"/>
            <w:vAlign w:val="bottom"/>
          </w:tcPr>
          <w:p>
            <w:pPr>
              <w:spacing w:after="0"/>
              <w:rPr>
                <w:sz w:val="1"/>
                <w:szCs w:val="1"/>
                <w:color w:val="auto"/>
              </w:rPr>
            </w:pPr>
          </w:p>
        </w:tc>
      </w:tr>
      <w:tr>
        <w:trPr>
          <w:trHeight w:val="216"/>
        </w:trPr>
        <w:tc>
          <w:tcPr>
            <w:tcW w:w="3640" w:type="dxa"/>
            <w:vAlign w:val="bottom"/>
          </w:tcPr>
          <w:p>
            <w:pPr>
              <w:ind w:left="700"/>
              <w:spacing w:after="0"/>
              <w:rPr>
                <w:sz w:val="20"/>
                <w:szCs w:val="20"/>
                <w:color w:val="auto"/>
              </w:rPr>
            </w:pPr>
            <w:r>
              <w:rPr>
                <w:rFonts w:ascii="Arial" w:cs="Arial" w:eastAsia="Arial" w:hAnsi="Arial"/>
                <w:sz w:val="18"/>
                <w:szCs w:val="18"/>
                <w:color w:val="auto"/>
              </w:rPr>
              <w:t>Total Company</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432,388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1,909,613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3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Itron North America</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60,244</w:t>
            </w:r>
          </w:p>
        </w:tc>
        <w:tc>
          <w:tcPr>
            <w:tcW w:w="180" w:type="dxa"/>
            <w:vAlign w:val="bottom"/>
          </w:tcPr>
          <w:p>
            <w:pPr>
              <w:spacing w:after="0"/>
              <w:rPr>
                <w:sz w:val="18"/>
                <w:szCs w:val="18"/>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67,582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247,755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247,250</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Actaris</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84,884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88,856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399,102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240,037</w:t>
            </w:r>
          </w:p>
        </w:tc>
        <w:tc>
          <w:tcPr>
            <w:tcW w:w="0" w:type="dxa"/>
            <w:vAlign w:val="bottom"/>
          </w:tcPr>
          <w:p>
            <w:pPr>
              <w:spacing w:after="0"/>
              <w:rPr>
                <w:sz w:val="1"/>
                <w:szCs w:val="1"/>
                <w:color w:val="auto"/>
              </w:rPr>
            </w:pPr>
          </w:p>
        </w:tc>
      </w:tr>
      <w:tr>
        <w:trPr>
          <w:trHeight w:val="216"/>
        </w:trPr>
        <w:tc>
          <w:tcPr>
            <w:tcW w:w="3640" w:type="dxa"/>
            <w:vAlign w:val="bottom"/>
          </w:tcPr>
          <w:p>
            <w:pPr>
              <w:ind w:left="700"/>
              <w:spacing w:after="0"/>
              <w:rPr>
                <w:sz w:val="20"/>
                <w:szCs w:val="20"/>
                <w:color w:val="auto"/>
              </w:rPr>
            </w:pPr>
            <w:r>
              <w:rPr>
                <w:rFonts w:ascii="Arial" w:cs="Arial" w:eastAsia="Arial" w:hAnsi="Arial"/>
                <w:sz w:val="18"/>
                <w:szCs w:val="18"/>
                <w:color w:val="auto"/>
              </w:rPr>
              <w:t>Total Company</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3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Itron North America</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19,387</w:t>
            </w:r>
          </w:p>
        </w:tc>
        <w:tc>
          <w:tcPr>
            <w:tcW w:w="180" w:type="dxa"/>
            <w:vAlign w:val="bottom"/>
          </w:tcPr>
          <w:p>
            <w:pPr>
              <w:spacing w:after="0"/>
              <w:rPr>
                <w:sz w:val="18"/>
                <w:szCs w:val="18"/>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23,676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77,074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74,394</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Actaris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70,430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Corporate unallocated</w:t>
            </w:r>
          </w:p>
        </w:tc>
        <w:tc>
          <w:tcPr>
            <w:tcW w:w="10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(37,682)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(32,036)</w:t>
            </w:r>
          </w:p>
        </w:tc>
        <w:tc>
          <w:tcPr>
            <w:tcW w:w="0" w:type="dxa"/>
            <w:vAlign w:val="bottom"/>
          </w:tcPr>
          <w:p>
            <w:pPr>
              <w:spacing w:after="0"/>
              <w:rPr>
                <w:sz w:val="1"/>
                <w:szCs w:val="1"/>
                <w:color w:val="auto"/>
              </w:rPr>
            </w:pPr>
          </w:p>
        </w:tc>
      </w:tr>
      <w:tr>
        <w:trPr>
          <w:trHeight w:val="216"/>
        </w:trPr>
        <w:tc>
          <w:tcPr>
            <w:tcW w:w="3640" w:type="dxa"/>
            <w:vAlign w:val="bottom"/>
          </w:tcPr>
          <w:p>
            <w:pPr>
              <w:ind w:left="700"/>
              <w:spacing w:after="0"/>
              <w:rPr>
                <w:sz w:val="20"/>
                <w:szCs w:val="20"/>
                <w:color w:val="auto"/>
              </w:rPr>
            </w:pPr>
            <w:r>
              <w:rPr>
                <w:rFonts w:ascii="Arial" w:cs="Arial" w:eastAsia="Arial" w:hAnsi="Arial"/>
                <w:sz w:val="18"/>
                <w:szCs w:val="18"/>
                <w:color w:val="auto"/>
              </w:rPr>
              <w:t>Total Company</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35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December 31,</w:t>
            </w:r>
          </w:p>
        </w:tc>
        <w:tc>
          <w:tcPr>
            <w:tcW w:w="34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9"/>
              </w:rPr>
              <w:t>Twelve Months Ended December 31,</w:t>
            </w:r>
          </w:p>
        </w:tc>
      </w:tr>
      <w:tr>
        <w:trPr>
          <w:trHeight w:val="223"/>
        </w:trPr>
        <w:tc>
          <w:tcPr>
            <w:tcW w:w="44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b w:val="1"/>
                <w:bCs w:val="1"/>
                <w:color w:val="auto"/>
              </w:rPr>
              <w:t>Unit Shipments</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line="201" w:lineRule="exact"/>
              <w:rPr>
                <w:sz w:val="20"/>
                <w:szCs w:val="20"/>
                <w:color w:val="auto"/>
              </w:rPr>
            </w:pPr>
            <w:r>
              <w:rPr>
                <w:rFonts w:ascii="Arial" w:cs="Arial" w:eastAsia="Arial" w:hAnsi="Arial"/>
                <w:sz w:val="18"/>
                <w:szCs w:val="18"/>
                <w:color w:val="auto"/>
              </w:rPr>
              <w:t>(units in thousands)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540" w:type="dxa"/>
            <w:vAlign w:val="bottom"/>
            <w:gridSpan w:val="2"/>
          </w:tcPr>
          <w:p>
            <w:pPr>
              <w:ind w:left="280"/>
              <w:spacing w:after="0"/>
              <w:rPr>
                <w:sz w:val="20"/>
                <w:szCs w:val="20"/>
                <w:color w:val="auto"/>
              </w:rPr>
            </w:pPr>
            <w:r>
              <w:rPr>
                <w:rFonts w:ascii="Arial" w:cs="Arial" w:eastAsia="Arial" w:hAnsi="Arial"/>
                <w:sz w:val="18"/>
                <w:szCs w:val="18"/>
                <w:color w:val="auto"/>
              </w:rPr>
              <w:t>Total meters (with or without AMR)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Electricity - Itron North America</w:t>
            </w:r>
          </w:p>
        </w:tc>
        <w:tc>
          <w:tcPr>
            <w:tcW w:w="520" w:type="dxa"/>
            <w:vAlign w:val="bottom"/>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1,600</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4,800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5,075</w:t>
            </w:r>
          </w:p>
        </w:tc>
      </w:tr>
      <w:tr>
        <w:trPr>
          <w:trHeight w:val="216"/>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Electricity - Actaris</w:t>
            </w:r>
          </w:p>
        </w:tc>
        <w:tc>
          <w:tcPr>
            <w:tcW w:w="520" w:type="dxa"/>
            <w:vAlign w:val="bottom"/>
          </w:tcPr>
          <w:p>
            <w:pPr>
              <w:jc w:val="right"/>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1,950</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7,840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5,400</w:t>
            </w:r>
          </w:p>
        </w:tc>
      </w:tr>
      <w:tr>
        <w:trPr>
          <w:trHeight w:val="216"/>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Gas</w:t>
            </w:r>
          </w:p>
        </w:tc>
        <w:tc>
          <w:tcPr>
            <w:tcW w:w="520" w:type="dxa"/>
            <w:vAlign w:val="bottom"/>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4,080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2,600</w:t>
            </w:r>
          </w:p>
        </w:tc>
      </w:tr>
      <w:tr>
        <w:trPr>
          <w:trHeight w:val="237"/>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Water</w:t>
            </w:r>
          </w:p>
        </w:tc>
        <w:tc>
          <w:tcPr>
            <w:tcW w:w="520" w:type="dxa"/>
            <w:vAlign w:val="bottom"/>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20"/>
                <w:szCs w:val="20"/>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1,950</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8,440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5,575</w:t>
            </w:r>
          </w:p>
        </w:tc>
      </w:tr>
      <w:tr>
        <w:trPr>
          <w:trHeight w:val="216"/>
        </w:trPr>
        <w:tc>
          <w:tcPr>
            <w:tcW w:w="4420" w:type="dxa"/>
            <w:vAlign w:val="bottom"/>
          </w:tcPr>
          <w:p>
            <w:pPr>
              <w:ind w:left="820"/>
              <w:spacing w:after="0"/>
              <w:rPr>
                <w:sz w:val="20"/>
                <w:szCs w:val="20"/>
                <w:color w:val="auto"/>
              </w:rPr>
            </w:pPr>
            <w:r>
              <w:rPr>
                <w:rFonts w:ascii="Arial" w:cs="Arial" w:eastAsia="Arial" w:hAnsi="Arial"/>
                <w:sz w:val="18"/>
                <w:szCs w:val="18"/>
                <w:color w:val="auto"/>
              </w:rPr>
              <w:t>Total meters</w:t>
            </w:r>
          </w:p>
        </w:tc>
        <w:tc>
          <w:tcPr>
            <w:tcW w:w="1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1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25,160</w:t>
            </w:r>
          </w:p>
        </w:tc>
        <w:tc>
          <w:tcPr>
            <w:tcW w:w="14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18,650</w:t>
            </w:r>
          </w:p>
        </w:tc>
        <w:tc>
          <w:tcPr>
            <w:tcW w:w="20" w:type="dxa"/>
            <w:vAlign w:val="bottom"/>
          </w:tcPr>
          <w:p>
            <w:pPr>
              <w:spacing w:after="0"/>
              <w:rPr>
                <w:sz w:val="18"/>
                <w:szCs w:val="18"/>
                <w:color w:val="auto"/>
              </w:rPr>
            </w:pPr>
          </w:p>
        </w:tc>
      </w:tr>
      <w:tr>
        <w:trPr>
          <w:trHeight w:val="21"/>
        </w:trPr>
        <w:tc>
          <w:tcPr>
            <w:tcW w:w="4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5540" w:type="dxa"/>
            <w:vAlign w:val="bottom"/>
            <w:gridSpan w:val="2"/>
          </w:tcPr>
          <w:p>
            <w:pPr>
              <w:ind w:left="280"/>
              <w:spacing w:after="0"/>
              <w:rPr>
                <w:sz w:val="20"/>
                <w:szCs w:val="20"/>
                <w:color w:val="auto"/>
              </w:rPr>
            </w:pPr>
            <w:r>
              <w:rPr>
                <w:rFonts w:ascii="Arial" w:cs="Arial" w:eastAsia="Arial" w:hAnsi="Arial"/>
                <w:sz w:val="18"/>
                <w:szCs w:val="18"/>
                <w:color w:val="auto"/>
              </w:rPr>
              <w:t>AMR units (Itron North America and Actaris)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Meters with AMR</w:t>
            </w:r>
          </w:p>
        </w:tc>
        <w:tc>
          <w:tcPr>
            <w:tcW w:w="52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1,350</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4,700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r>
      <w:tr>
        <w:trPr>
          <w:trHeight w:val="237"/>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AMR modules</w:t>
            </w:r>
          </w:p>
        </w:tc>
        <w:tc>
          <w:tcPr>
            <w:tcW w:w="520" w:type="dxa"/>
            <w:vAlign w:val="bottom"/>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20"/>
                <w:szCs w:val="20"/>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4,890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4,675</w:t>
            </w:r>
          </w:p>
        </w:tc>
      </w:tr>
      <w:tr>
        <w:trPr>
          <w:trHeight w:val="216"/>
        </w:trPr>
        <w:tc>
          <w:tcPr>
            <w:tcW w:w="4420" w:type="dxa"/>
            <w:vAlign w:val="bottom"/>
          </w:tcPr>
          <w:p>
            <w:pPr>
              <w:ind w:left="820"/>
              <w:spacing w:after="0"/>
              <w:rPr>
                <w:sz w:val="20"/>
                <w:szCs w:val="20"/>
                <w:color w:val="auto"/>
              </w:rPr>
            </w:pPr>
            <w:r>
              <w:rPr>
                <w:rFonts w:ascii="Arial" w:cs="Arial" w:eastAsia="Arial" w:hAnsi="Arial"/>
                <w:sz w:val="18"/>
                <w:szCs w:val="18"/>
                <w:color w:val="auto"/>
              </w:rPr>
              <w:t>Total AMR units</w:t>
            </w:r>
          </w:p>
        </w:tc>
        <w:tc>
          <w:tcPr>
            <w:tcW w:w="1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4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20" w:type="dxa"/>
            <w:vAlign w:val="bottom"/>
          </w:tcPr>
          <w:p>
            <w:pPr>
              <w:spacing w:after="0"/>
              <w:rPr>
                <w:sz w:val="18"/>
                <w:szCs w:val="18"/>
                <w:color w:val="auto"/>
              </w:rPr>
            </w:pPr>
          </w:p>
        </w:tc>
      </w:tr>
      <w:tr>
        <w:trPr>
          <w:trHeight w:val="21"/>
        </w:trPr>
        <w:tc>
          <w:tcPr>
            <w:tcW w:w="4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5540" w:type="dxa"/>
            <w:vAlign w:val="bottom"/>
            <w:gridSpan w:val="2"/>
          </w:tcPr>
          <w:p>
            <w:pPr>
              <w:ind w:left="280"/>
              <w:spacing w:after="0"/>
              <w:rPr>
                <w:sz w:val="20"/>
                <w:szCs w:val="20"/>
                <w:color w:val="auto"/>
              </w:rPr>
            </w:pPr>
            <w:r>
              <w:rPr>
                <w:rFonts w:ascii="Arial" w:cs="Arial" w:eastAsia="Arial" w:hAnsi="Arial"/>
                <w:sz w:val="18"/>
                <w:szCs w:val="18"/>
                <w:color w:val="auto"/>
              </w:rPr>
              <w:t>Meters with other vendors' AMR</w:t>
            </w: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4"/>
                <w:szCs w:val="24"/>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840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r>
      <w:tr>
        <w:trPr>
          <w:trHeight w:val="21"/>
        </w:trPr>
        <w:tc>
          <w:tcPr>
            <w:tcW w:w="4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changed our management structure with the acquisition of Actaris on April 18, 2007 to reflect two operating segments. On January 1, 2008, we made additional refinements to these two operating segments as we continue to integrate the Actaris acquisition and realign our operations. The information presented for the three and twelve month periods ended December 31, 2007 reflects the restatement of our segment operating results based on this realignment.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ind w:left="4240"/>
              <w:spacing w:after="0"/>
              <w:rPr>
                <w:sz w:val="20"/>
                <w:szCs w:val="20"/>
                <w:color w:val="auto"/>
              </w:rPr>
            </w:pPr>
            <w:r>
              <w:rPr>
                <w:rFonts w:ascii="Arial" w:cs="Arial" w:eastAsia="Arial" w:hAnsi="Arial"/>
                <w:sz w:val="18"/>
                <w:szCs w:val="18"/>
                <w:b w:val="1"/>
                <w:bCs w:val="1"/>
                <w:color w:val="auto"/>
              </w:rPr>
              <w:t>CONSOLIDATED BALANCE SHEETS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98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vMerge w:val="restart"/>
          </w:tcPr>
          <w:p>
            <w:pPr>
              <w:jc w:val="right"/>
              <w:ind w:right="60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418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144,390</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321,278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339,018</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164,210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169,238</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37"/>
        </w:trPr>
        <w:tc>
          <w:tcPr>
            <w:tcW w:w="8980" w:type="dxa"/>
            <w:vAlign w:val="bottom"/>
          </w:tcPr>
          <w:p>
            <w:pPr>
              <w:ind w:left="15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56,032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42,459</w:t>
            </w:r>
          </w:p>
        </w:tc>
        <w:tc>
          <w:tcPr>
            <w:tcW w:w="0" w:type="dxa"/>
            <w:vAlign w:val="bottom"/>
          </w:tcPr>
          <w:p>
            <w:pPr>
              <w:spacing w:after="0"/>
              <w:rPr>
                <w:sz w:val="1"/>
                <w:szCs w:val="1"/>
                <w:color w:val="auto"/>
              </w:rPr>
            </w:pPr>
          </w:p>
        </w:tc>
      </w:tr>
      <w:tr>
        <w:trPr>
          <w:trHeight w:val="230"/>
        </w:trPr>
        <w:tc>
          <w:tcPr>
            <w:tcW w:w="89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717,717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307,717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323,003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Prepaid debt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75,243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481,886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695,900</w:t>
            </w:r>
          </w:p>
        </w:tc>
        <w:tc>
          <w:tcPr>
            <w:tcW w:w="0" w:type="dxa"/>
            <w:vAlign w:val="bottom"/>
          </w:tcPr>
          <w:p>
            <w:pPr>
              <w:spacing w:after="0"/>
              <w:rPr>
                <w:sz w:val="1"/>
                <w:szCs w:val="1"/>
                <w:color w:val="auto"/>
              </w:rPr>
            </w:pPr>
          </w:p>
        </w:tc>
      </w:tr>
      <w:tr>
        <w:trPr>
          <w:trHeight w:val="237"/>
        </w:trPr>
        <w:tc>
          <w:tcPr>
            <w:tcW w:w="89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1,285,853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1,266,133</w:t>
            </w:r>
          </w:p>
        </w:tc>
        <w:tc>
          <w:tcPr>
            <w:tcW w:w="0" w:type="dxa"/>
            <w:vAlign w:val="bottom"/>
          </w:tcPr>
          <w:p>
            <w:pPr>
              <w:spacing w:after="0"/>
              <w:rPr>
                <w:sz w:val="1"/>
                <w:szCs w:val="1"/>
                <w:color w:val="auto"/>
              </w:rPr>
            </w:pPr>
          </w:p>
        </w:tc>
      </w:tr>
      <w:tr>
        <w:trPr>
          <w:trHeight w:val="216"/>
        </w:trPr>
        <w:tc>
          <w:tcPr>
            <w:tcW w:w="89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2,871,214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3,050,566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9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200,725</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198,997</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57,275</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Wages and benefits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70,486</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Current portion of warranty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37"/>
        </w:trPr>
        <w:tc>
          <w:tcPr>
            <w:tcW w:w="8980" w:type="dxa"/>
            <w:vAlign w:val="bottom"/>
          </w:tcPr>
          <w:p>
            <w:pPr>
              <w:ind w:left="24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30"/>
        </w:trPr>
        <w:tc>
          <w:tcPr>
            <w:tcW w:w="89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424,421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98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1,179,249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1,578,561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Warranty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Pension plan benefits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102,720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173,500</w:t>
            </w:r>
          </w:p>
        </w:tc>
        <w:tc>
          <w:tcPr>
            <w:tcW w:w="0" w:type="dxa"/>
            <w:vAlign w:val="bottom"/>
          </w:tcPr>
          <w:p>
            <w:pPr>
              <w:spacing w:after="0"/>
              <w:rPr>
                <w:sz w:val="1"/>
                <w:szCs w:val="1"/>
                <w:color w:val="auto"/>
              </w:rPr>
            </w:pPr>
          </w:p>
        </w:tc>
      </w:tr>
      <w:tr>
        <w:trPr>
          <w:trHeight w:val="237"/>
        </w:trPr>
        <w:tc>
          <w:tcPr>
            <w:tcW w:w="8980" w:type="dxa"/>
            <w:vAlign w:val="bottom"/>
          </w:tcPr>
          <w:p>
            <w:pPr>
              <w:spacing w:after="0"/>
              <w:rPr>
                <w:sz w:val="20"/>
                <w:szCs w:val="20"/>
                <w:color w:val="auto"/>
              </w:rPr>
            </w:pPr>
            <w:r>
              <w:rPr>
                <w:rFonts w:ascii="Arial" w:cs="Arial" w:eastAsia="Arial" w:hAnsi="Arial"/>
                <w:sz w:val="18"/>
                <w:szCs w:val="18"/>
                <w:color w:val="auto"/>
              </w:rPr>
              <w:t>Other obligations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58,743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63,659</w:t>
            </w:r>
          </w:p>
        </w:tc>
        <w:tc>
          <w:tcPr>
            <w:tcW w:w="0" w:type="dxa"/>
            <w:vAlign w:val="bottom"/>
          </w:tcPr>
          <w:p>
            <w:pPr>
              <w:spacing w:after="0"/>
              <w:rPr>
                <w:sz w:val="1"/>
                <w:szCs w:val="1"/>
                <w:color w:val="auto"/>
              </w:rPr>
            </w:pPr>
          </w:p>
        </w:tc>
      </w:tr>
      <w:tr>
        <w:trPr>
          <w:trHeight w:val="230"/>
        </w:trPr>
        <w:tc>
          <w:tcPr>
            <w:tcW w:w="89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1,835,823</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2,291,764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98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951,007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609,902</w:t>
            </w:r>
          </w:p>
        </w:tc>
        <w:tc>
          <w:tcPr>
            <w:tcW w:w="0" w:type="dxa"/>
            <w:vAlign w:val="bottom"/>
          </w:tcPr>
          <w:p>
            <w:pPr>
              <w:spacing w:after="0"/>
              <w:rPr>
                <w:sz w:val="1"/>
                <w:szCs w:val="1"/>
                <w:color w:val="auto"/>
              </w:rPr>
            </w:pPr>
          </w:p>
        </w:tc>
      </w:tr>
      <w:tr>
        <w:trPr>
          <w:trHeight w:val="216"/>
        </w:trPr>
        <w:tc>
          <w:tcPr>
            <w:tcW w:w="89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126,668</w:t>
            </w:r>
          </w:p>
        </w:tc>
        <w:tc>
          <w:tcPr>
            <w:tcW w:w="0" w:type="dxa"/>
            <w:vAlign w:val="bottom"/>
          </w:tcPr>
          <w:p>
            <w:pPr>
              <w:spacing w:after="0"/>
              <w:rPr>
                <w:sz w:val="1"/>
                <w:szCs w:val="1"/>
                <w:color w:val="auto"/>
              </w:rPr>
            </w:pPr>
          </w:p>
        </w:tc>
      </w:tr>
      <w:tr>
        <w:trPr>
          <w:trHeight w:val="237"/>
        </w:trPr>
        <w:tc>
          <w:tcPr>
            <w:tcW w:w="898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50,291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22,232</w:t>
            </w:r>
          </w:p>
        </w:tc>
        <w:tc>
          <w:tcPr>
            <w:tcW w:w="0" w:type="dxa"/>
            <w:vAlign w:val="bottom"/>
          </w:tcPr>
          <w:p>
            <w:pPr>
              <w:spacing w:after="0"/>
              <w:rPr>
                <w:sz w:val="1"/>
                <w:szCs w:val="1"/>
                <w:color w:val="auto"/>
              </w:rPr>
            </w:pPr>
          </w:p>
        </w:tc>
      </w:tr>
      <w:tr>
        <w:trPr>
          <w:trHeight w:val="223"/>
        </w:trPr>
        <w:tc>
          <w:tcPr>
            <w:tcW w:w="898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1,035,391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2,871,214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3,050,566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8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7"/>
            <w:vMerge w:val="restart"/>
          </w:tcPr>
          <w:p>
            <w:pPr>
              <w:jc w:val="right"/>
              <w:ind w:right="500"/>
              <w:spacing w:after="0"/>
              <w:rPr>
                <w:sz w:val="20"/>
                <w:szCs w:val="20"/>
                <w:color w:val="auto"/>
              </w:rPr>
            </w:pPr>
            <w:r>
              <w:rPr>
                <w:rFonts w:ascii="Arial" w:cs="Arial" w:eastAsia="Arial" w:hAnsi="Arial"/>
                <w:sz w:val="18"/>
                <w:szCs w:val="18"/>
                <w:b w:val="1"/>
                <w:bCs w:val="1"/>
                <w:color w:val="auto"/>
                <w:w w:val="97"/>
              </w:rPr>
              <w:t>Twelve Months Ended</w:t>
            </w:r>
          </w:p>
        </w:tc>
        <w:tc>
          <w:tcPr>
            <w:tcW w:w="0" w:type="dxa"/>
            <w:vAlign w:val="bottom"/>
          </w:tcPr>
          <w:p>
            <w:pPr>
              <w:spacing w:after="0"/>
              <w:rPr>
                <w:sz w:val="1"/>
                <w:szCs w:val="1"/>
                <w:color w:val="auto"/>
              </w:rPr>
            </w:pPr>
          </w:p>
        </w:tc>
      </w:tr>
      <w:tr>
        <w:trPr>
          <w:trHeight w:val="198"/>
        </w:trPr>
        <w:tc>
          <w:tcPr>
            <w:tcW w:w="8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28,059</w:t>
            </w:r>
          </w:p>
        </w:tc>
        <w:tc>
          <w:tcPr>
            <w:tcW w:w="12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173,673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126,440</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Employee stock plans income tax provision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Amortization of prepaid debt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(38,074)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(36,373)</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(40,718)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Accounts payables, other current liabilities and taxes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(6,549)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Wages and benefits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Warranty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Effect of foreign exchange rate changes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(9,688)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(11,728)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82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193,146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the maturities of investments, held to maturity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Acquisitions of property, plant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(63,430)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Business acquisitions &amp; contingent consideration, net of cash &amp; cash equivalents acquired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(6,897)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(1,716,253)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30"/>
        </w:trPr>
        <w:tc>
          <w:tcPr>
            <w:tcW w:w="882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(1,714,416)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borrowings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1,159,023</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Payments on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(388,371)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(76,099)</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Issuance of common stock</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324,494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247,617</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Prepaid debt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30"/>
        </w:trPr>
        <w:tc>
          <w:tcPr>
            <w:tcW w:w="8820" w:type="dxa"/>
            <w:vAlign w:val="bottom"/>
          </w:tcPr>
          <w:p>
            <w:pPr>
              <w:ind w:left="46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(63,376)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8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(10,293)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52,402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(269,417)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91,988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361,405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8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Non-GAAP Financial Measures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press release dated February 18, 2009 contains non-GAAP financial measures. To supplement our consolidated financial statements, which are prepared and presented in accordance with GAAP, we use certain non-GAAP financial measures, including non-GAAP operating income, non-GAAP net income and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Our executive compensation plans exclude non-cash charges related to amortization of intangibles and non-recurring discrete cash and non-cash charges that are infrequent in nature such as in-process research and development (IPR&amp;D) or purchase accounting adjustments.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ability to service debt as well as comparisons to our competitor’s operating results. We believe these non-GAAP financial measures are useful to investors because they allow for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Non-GAAP operating income </w:t>
      </w:r>
      <w:r>
        <w:rPr>
          <w:rFonts w:ascii="Arial" w:cs="Arial" w:eastAsia="Arial" w:hAnsi="Arial"/>
          <w:sz w:val="16"/>
          <w:szCs w:val="16"/>
          <w:color w:val="auto"/>
        </w:rPr>
        <w:t>– We define non-GAAP operating income as operating income minus amortization of intangible assets, business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inventory revaluation and IPR&amp;D. We consider this non-GAAP financial measure to be a useful metric for management and investors because it excludes the effects of expenses that are related to current and previous acquisitions. By excluding these expenses we believe that it is easier for management and investors to compare our financial results over multiple periods. We believe that excluding amortization of intangible assets enables management and investors to analyze trends in our operations. For example, expenses related to amortization of intangible assets were decreasing prior to the Actaris acquisition, which was improving GAAP operating margins, yet the improvement in GAAP operating margins due to this lower expense was not reflective of an improvement in our core business. Additionally we exclude the effects of inventory revaluation and IPR&amp;D to provide investors gross and operating margins that are not impacted by purchase accounting adjustments.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Non-GAAP net income and non-GAAP EPS </w:t>
      </w:r>
      <w:r>
        <w:rPr>
          <w:rFonts w:ascii="Arial" w:cs="Arial" w:eastAsia="Arial" w:hAnsi="Arial"/>
          <w:sz w:val="16"/>
          <w:szCs w:val="16"/>
          <w:color w:val="auto"/>
        </w:rPr>
        <w:t>– We define non-GAAP net income as net income minus the expenses associated with amortization of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amortization of debt fees, expenses related to business combination accounting for inventory revaluation and expenses for IPR&amp;D as well as the tax effects of each item. We define non-GAAP EPS as non-GAAP net income divided by the weighted average shares, on a fully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EPS. We compensate for these limitations by providing specific information regarding the GAAP amounts excluded from non-GAAP net income and non-GAAP EPS and evaluating non-GAAP net income and non-GAAP EPS together with GAAP net income and EPS.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minus interest income, plus interest expense, tax expense and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intangible asset expenses plus non-cash expenses for business combination accounting for inventory revaluation and IPR&amp;D. We feel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expenses that we exclude in our calculation of Adjusted EBITDA may differ from the expenses that our peer companies exclude when they report their results. Management compensates for this limitation by providing a reconciliation of this measure to GAAP net income.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acquisitions of property, plant and equipment. We believe free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a reconciliation to free cash flow.</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12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TO MOST DIRECTLY COMPARABLE GAAP FINANCIAL MEASURES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6"/>
            <w:vMerge w:val="restart"/>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0"/>
                <w:szCs w:val="20"/>
                <w:color w:val="auto"/>
              </w:rPr>
            </w:pPr>
          </w:p>
        </w:tc>
        <w:tc>
          <w:tcPr>
            <w:tcW w:w="228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w w:val="96"/>
              </w:rPr>
              <w:t>Twelve Months Ended</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vMerge w:val="continue"/>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Non-GAAP operating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GAAP operating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21,024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31,532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109,822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46,473</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27,250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25,873</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120,364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37"/>
        </w:trPr>
        <w:tc>
          <w:tcPr>
            <w:tcW w:w="6400" w:type="dxa"/>
            <w:vAlign w:val="bottom"/>
          </w:tcPr>
          <w:p>
            <w:pPr>
              <w:ind w:left="700"/>
              <w:spacing w:after="0"/>
              <w:rPr>
                <w:sz w:val="20"/>
                <w:szCs w:val="20"/>
                <w:color w:val="auto"/>
              </w:rPr>
            </w:pPr>
            <w:r>
              <w:rPr>
                <w:rFonts w:ascii="Arial" w:cs="Arial" w:eastAsia="Arial" w:hAnsi="Arial"/>
                <w:sz w:val="18"/>
                <w:szCs w:val="18"/>
                <w:color w:val="auto"/>
              </w:rPr>
              <w:t>Purchase accounting adjustment - inventory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Non-GAAP operating income</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57,560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230,186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color w:val="auto"/>
              </w:rPr>
              <w:t>Non-GAAP net income:</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6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GAAP net income (loss)</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28,059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27,250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25,873</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120,364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Amortization of debt placement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1,412</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8,674</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Purchase accounting adjustment - inventory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37"/>
        </w:trPr>
        <w:tc>
          <w:tcPr>
            <w:tcW w:w="6400" w:type="dxa"/>
            <w:vAlign w:val="bottom"/>
          </w:tcPr>
          <w:p>
            <w:pPr>
              <w:ind w:left="700"/>
              <w:spacing w:after="0"/>
              <w:rPr>
                <w:sz w:val="20"/>
                <w:szCs w:val="20"/>
                <w:color w:val="auto"/>
              </w:rPr>
            </w:pPr>
            <w:r>
              <w:rPr>
                <w:rFonts w:ascii="Arial" w:cs="Arial" w:eastAsia="Arial" w:hAnsi="Arial"/>
                <w:sz w:val="18"/>
                <w:szCs w:val="18"/>
                <w:color w:val="auto"/>
              </w:rPr>
              <w:t>Income tax effect of non-GAAP adjustments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(7,910)</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(4,952)</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(39,518)</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(45,804)</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24,845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117,579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ind w:left="360"/>
              <w:spacing w:after="0"/>
              <w:rPr>
                <w:sz w:val="20"/>
                <w:szCs w:val="20"/>
                <w:color w:val="auto"/>
              </w:rPr>
            </w:pPr>
            <w:r>
              <w:rPr>
                <w:rFonts w:ascii="Arial" w:cs="Arial" w:eastAsia="Arial" w:hAnsi="Arial"/>
                <w:sz w:val="18"/>
                <w:szCs w:val="18"/>
                <w:color w:val="auto"/>
              </w:rPr>
              <w:t>Non-GAAP diluted EPS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400" w:type="dxa"/>
            <w:vAlign w:val="bottom"/>
            <w:vMerge w:val="continue"/>
          </w:tcPr>
          <w:p>
            <w:pPr>
              <w:spacing w:after="0"/>
              <w:rPr>
                <w:sz w:val="24"/>
                <w:szCs w:val="24"/>
                <w:color w:val="auto"/>
              </w:rPr>
            </w:pPr>
          </w:p>
        </w:tc>
        <w:tc>
          <w:tcPr>
            <w:tcW w:w="20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40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 Diluted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34,823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32,725</w:t>
            </w:r>
          </w:p>
        </w:tc>
        <w:tc>
          <w:tcPr>
            <w:tcW w:w="2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34,951</w:t>
            </w:r>
          </w:p>
        </w:tc>
        <w:tc>
          <w:tcPr>
            <w:tcW w:w="2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31,093</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6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GAAP net income (loss)</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28,059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(1,587)</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26,689</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80,735</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89,965</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Income tax provision (benefit)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(3,205)</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4,014</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40,378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41,111</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173,673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35,975</w:t>
            </w:r>
          </w:p>
        </w:tc>
        <w:tc>
          <w:tcPr>
            <w:tcW w:w="0" w:type="dxa"/>
            <w:vAlign w:val="bottom"/>
          </w:tcPr>
          <w:p>
            <w:pPr>
              <w:spacing w:after="0"/>
              <w:rPr>
                <w:sz w:val="1"/>
                <w:szCs w:val="1"/>
                <w:color w:val="auto"/>
              </w:rPr>
            </w:pPr>
          </w:p>
        </w:tc>
      </w:tr>
      <w:tr>
        <w:trPr>
          <w:trHeight w:val="237"/>
        </w:trPr>
        <w:tc>
          <w:tcPr>
            <w:tcW w:w="6400" w:type="dxa"/>
            <w:vAlign w:val="bottom"/>
          </w:tcPr>
          <w:p>
            <w:pPr>
              <w:ind w:left="700"/>
              <w:spacing w:after="0"/>
              <w:rPr>
                <w:sz w:val="20"/>
                <w:szCs w:val="20"/>
                <w:color w:val="auto"/>
              </w:rPr>
            </w:pPr>
            <w:r>
              <w:rPr>
                <w:rFonts w:ascii="Arial" w:cs="Arial" w:eastAsia="Arial" w:hAnsi="Arial"/>
                <w:sz w:val="18"/>
                <w:szCs w:val="18"/>
                <w:color w:val="auto"/>
              </w:rPr>
              <w:t>Purchase accounting adjustment - inventory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60,356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67,165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280,511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Twelve Months Ended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Free Cash Flow:</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193,146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133,327</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700"/>
              <w:spacing w:after="0"/>
              <w:rPr>
                <w:sz w:val="20"/>
                <w:szCs w:val="20"/>
                <w:color w:val="auto"/>
              </w:rPr>
            </w:pPr>
            <w:r>
              <w:rPr>
                <w:rFonts w:ascii="Arial" w:cs="Arial" w:eastAsia="Arial" w:hAnsi="Arial"/>
                <w:sz w:val="18"/>
                <w:szCs w:val="18"/>
                <w:color w:val="auto"/>
              </w:rPr>
              <w:t>Acquisitions of property, plant and equipment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(63,430)</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(40,602)</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6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50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2019-12-10T05:47:14Z</dcterms:created>
  <dcterms:modified xsi:type="dcterms:W3CDTF">2019-12-10T05:47:14Z</dcterms:modified>
</cp:coreProperties>
</file>